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sz w:val="28"/>
        </w:rPr>
      </w:pPr>
      <w:bookmarkStart w:id="0" w:name="chuong_2_1"/>
      <w:r>
        <w:rPr>
          <w:rFonts w:ascii="Times New Roman" w:hAnsi="Times New Roman" w:cs="Times New Roman"/>
          <w:b/>
          <w:sz w:val="28"/>
        </w:rPr>
        <w:t>8. Thủ tục công bố hợp quy sản phẩm, hàng hóa vật liệu xây dựng.</w:t>
      </w:r>
    </w:p>
    <w:p w:rsidR="001B601E" w:rsidRDefault="00345EF4">
      <w:pPr>
        <w:spacing w:before="120"/>
        <w:ind w:firstLine="720"/>
        <w:jc w:val="both"/>
        <w:rPr>
          <w:rFonts w:ascii="Times New Roman" w:hAnsi="Times New Roman" w:cs="Times New Roman"/>
          <w:b/>
          <w:i/>
          <w:sz w:val="28"/>
          <w:szCs w:val="28"/>
          <w:lang w:val="pl-PL"/>
        </w:rPr>
      </w:pPr>
      <w:r w:rsidRPr="00EA63B1">
        <w:rPr>
          <w:rFonts w:ascii="Times New Roman" w:hAnsi="Times New Roman" w:cs="Times New Roman"/>
          <w:b/>
          <w:i/>
          <w:sz w:val="28"/>
          <w:szCs w:val="28"/>
        </w:rPr>
        <w:t>8</w:t>
      </w:r>
      <w:r>
        <w:rPr>
          <w:rFonts w:ascii="Times New Roman" w:hAnsi="Times New Roman" w:cs="Times New Roman"/>
          <w:b/>
          <w:i/>
          <w:sz w:val="28"/>
          <w:szCs w:val="28"/>
        </w:rPr>
        <w:t>.</w:t>
      </w:r>
      <w:r>
        <w:rPr>
          <w:rFonts w:ascii="Times New Roman" w:hAnsi="Times New Roman" w:cs="Times New Roman"/>
          <w:b/>
          <w:i/>
          <w:sz w:val="28"/>
          <w:szCs w:val="28"/>
          <w:lang w:val="it-IT"/>
        </w:rPr>
        <w:t>1</w:t>
      </w:r>
      <w:r>
        <w:rPr>
          <w:rFonts w:ascii="Times New Roman" w:hAnsi="Times New Roman" w:cs="Times New Roman"/>
          <w:b/>
          <w:i/>
          <w:sz w:val="28"/>
          <w:szCs w:val="28"/>
        </w:rPr>
        <w:t xml:space="preserve"> Trình tự thực hiện:</w:t>
      </w:r>
    </w:p>
    <w:p w:rsidR="001B601E" w:rsidRDefault="00345EF4">
      <w:pPr>
        <w:spacing w:before="120"/>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 </w:t>
      </w:r>
      <w:r>
        <w:rPr>
          <w:rFonts w:ascii="Times New Roman" w:hAnsi="Times New Roman" w:cs="Times New Roman"/>
          <w:sz w:val="28"/>
          <w:szCs w:val="28"/>
        </w:rPr>
        <w:t xml:space="preserve">Tổ chức, cá nhân công bố hợp quy nộp </w:t>
      </w:r>
      <w:r>
        <w:rPr>
          <w:rFonts w:ascii="Times New Roman" w:hAnsi="Times New Roman" w:cs="Times New Roman"/>
          <w:sz w:val="28"/>
        </w:rPr>
        <w:t>hồ sơ trực tiếp, qua dịch vụ bưu chính hoặc trực tuyến 01 bộ hồ sơ công bố hợp quy sản phẩm, hàng hóa vật liệu xây dựng cho Trung tâm Phục vụ hành chính công tỉnh</w:t>
      </w:r>
      <w:r w:rsidR="007D2285">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szCs w:val="28"/>
          <w:lang w:val="pl-PL"/>
        </w:rPr>
        <w:t xml:space="preserve">. </w:t>
      </w:r>
    </w:p>
    <w:p w:rsidR="001B601E" w:rsidRDefault="00345EF4">
      <w:pPr>
        <w:spacing w:before="120"/>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Đối với hồ sơ công bố hợp quy không đầy đủ theo quy định, trong thời hạn 03 (ba) ngày làm việc kể từ ngày nhận được hồ sơ công bố hợp quy, </w:t>
      </w:r>
      <w:r>
        <w:rPr>
          <w:rFonts w:ascii="Times New Roman" w:hAnsi="Times New Roman" w:cs="Times New Roman"/>
          <w:sz w:val="28"/>
          <w:szCs w:val="28"/>
        </w:rPr>
        <w:t>Sở Xây dựng</w:t>
      </w:r>
      <w:r>
        <w:rPr>
          <w:rFonts w:ascii="Times New Roman" w:hAnsi="Times New Roman" w:cs="Times New Roman"/>
          <w:sz w:val="28"/>
          <w:szCs w:val="28"/>
          <w:lang w:val="it-IT"/>
        </w:rPr>
        <w:t xml:space="preserve"> thông báo bằng văn bản đề nghị bổ sung các loại giấy tờ theo quy định tới tổ chức, cá nhân công bố hợp quy. Sau thời hạn 15 (mười lăm) ngày làm việc kể từ ngày </w:t>
      </w:r>
      <w:r>
        <w:rPr>
          <w:rFonts w:ascii="Times New Roman" w:hAnsi="Times New Roman" w:cs="Times New Roman"/>
          <w:sz w:val="28"/>
          <w:szCs w:val="28"/>
        </w:rPr>
        <w:t xml:space="preserve">Sở Xây dựng </w:t>
      </w:r>
      <w:r>
        <w:rPr>
          <w:rFonts w:ascii="Times New Roman" w:hAnsi="Times New Roman" w:cs="Times New Roman"/>
          <w:sz w:val="28"/>
          <w:szCs w:val="28"/>
          <w:lang w:val="it-IT"/>
        </w:rPr>
        <w:t xml:space="preserve">gửi văn bản đề nghị mà hồ sơ công bố hợp quy không được bổ sung đầy đủ theo quy định, </w:t>
      </w:r>
      <w:r>
        <w:rPr>
          <w:rFonts w:ascii="Times New Roman" w:hAnsi="Times New Roman" w:cs="Times New Roman"/>
          <w:sz w:val="28"/>
          <w:szCs w:val="28"/>
        </w:rPr>
        <w:t xml:space="preserve">Sở Xây dựng </w:t>
      </w:r>
      <w:r>
        <w:rPr>
          <w:rFonts w:ascii="Times New Roman" w:hAnsi="Times New Roman" w:cs="Times New Roman"/>
          <w:sz w:val="28"/>
          <w:szCs w:val="28"/>
          <w:lang w:val="it-IT"/>
        </w:rPr>
        <w:t xml:space="preserve">hủy bỏ việc xử lý đối với hồ sơ này. </w:t>
      </w:r>
    </w:p>
    <w:p w:rsidR="001B601E" w:rsidRDefault="00345EF4">
      <w:pPr>
        <w:spacing w:before="120"/>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Đối với hồ sơ công bố hợp quy đầy đủ theo quy định, trong thời gian 05 (năm) ngày làm việc kể từ ngày nhận được hồ sơ công bố hợp quy, </w:t>
      </w:r>
      <w:r>
        <w:rPr>
          <w:rFonts w:ascii="Times New Roman" w:hAnsi="Times New Roman" w:cs="Times New Roman"/>
          <w:sz w:val="28"/>
          <w:szCs w:val="28"/>
        </w:rPr>
        <w:t xml:space="preserve">Sở Xây dựng </w:t>
      </w:r>
      <w:r>
        <w:rPr>
          <w:rFonts w:ascii="Times New Roman" w:hAnsi="Times New Roman" w:cs="Times New Roman"/>
          <w:sz w:val="28"/>
          <w:szCs w:val="28"/>
          <w:lang w:val="it-IT"/>
        </w:rPr>
        <w:t>tổ chức kiểm tra tính hợp lệ của hồ sơ công bố hợp quy:</w:t>
      </w:r>
    </w:p>
    <w:p w:rsidR="001B601E" w:rsidRDefault="00345EF4">
      <w:pPr>
        <w:spacing w:before="120"/>
        <w:ind w:firstLine="720"/>
        <w:jc w:val="both"/>
        <w:rPr>
          <w:rFonts w:ascii="Times New Roman" w:hAnsi="Times New Roman" w:cs="Times New Roman"/>
          <w:spacing w:val="-4"/>
          <w:sz w:val="28"/>
          <w:szCs w:val="28"/>
        </w:rPr>
      </w:pPr>
      <w:r>
        <w:rPr>
          <w:rFonts w:ascii="Times New Roman" w:hAnsi="Times New Roman" w:cs="Times New Roman"/>
          <w:spacing w:val="-4"/>
          <w:sz w:val="28"/>
          <w:szCs w:val="28"/>
          <w:lang w:val="it-IT"/>
        </w:rPr>
        <w:t xml:space="preserve">+ Trường hợp hồ sơ công bố hợp quy đầy đủ và hợp lệ, </w:t>
      </w:r>
      <w:r>
        <w:rPr>
          <w:rFonts w:ascii="Times New Roman" w:hAnsi="Times New Roman" w:cs="Times New Roman"/>
          <w:spacing w:val="-4"/>
          <w:sz w:val="28"/>
          <w:szCs w:val="28"/>
        </w:rPr>
        <w:t>Sở Xây dựng</w:t>
      </w:r>
      <w:r>
        <w:rPr>
          <w:rFonts w:ascii="Times New Roman" w:hAnsi="Times New Roman" w:cs="Times New Roman"/>
          <w:spacing w:val="-4"/>
          <w:sz w:val="28"/>
          <w:szCs w:val="28"/>
          <w:lang w:val="it-IT"/>
        </w:rPr>
        <w:t xml:space="preserve"> ban hành Thông báo tiếp nhận hồ sơ công bố hợp quy cho tổ chức, cá nhân công bố hợp quy theo </w:t>
      </w:r>
      <w:r>
        <w:rPr>
          <w:rFonts w:ascii="Times New Roman" w:hAnsi="Times New Roman" w:cs="Times New Roman"/>
          <w:spacing w:val="-4"/>
          <w:sz w:val="28"/>
          <w:szCs w:val="28"/>
        </w:rPr>
        <w:t>Mẫu 3. TBTNHS, Thông tư  số 28/2012/TT-BKHCN ngày 12/12/2012 của Bộ Khoa học và Công nghệ quy định về công bố hợp chuẩn, công bố hợp quy và phương thức đánh giá sự phù hợp với tiêu chuẩn, quy chuẩn kỹ thuật;</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 Trường hợp hồ sơ công bố hợp quy đầy đủ nhưng không hợp lệ, Sở Xây dựng thông báo bằng văn bản cho tổ chức, cá nhân công bố hợp quy về lý do không tiếp nhận hồ sơ. </w:t>
      </w:r>
    </w:p>
    <w:p w:rsidR="001B601E" w:rsidRDefault="00345EF4">
      <w:pPr>
        <w:pStyle w:val="BodyTextIndent"/>
        <w:widowControl w:val="0"/>
        <w:spacing w:before="120" w:after="0"/>
        <w:ind w:left="0" w:firstLine="720"/>
        <w:jc w:val="both"/>
        <w:rPr>
          <w:sz w:val="28"/>
          <w:szCs w:val="28"/>
        </w:rPr>
      </w:pPr>
      <w:r w:rsidRPr="00EA63B1">
        <w:rPr>
          <w:b/>
          <w:i/>
          <w:sz w:val="28"/>
          <w:szCs w:val="28"/>
        </w:rPr>
        <w:t>8</w:t>
      </w:r>
      <w:r>
        <w:rPr>
          <w:b/>
          <w:i/>
          <w:sz w:val="28"/>
          <w:szCs w:val="28"/>
        </w:rPr>
        <w:t>.2.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pStyle w:val="BodyTextIndent"/>
        <w:widowControl w:val="0"/>
        <w:tabs>
          <w:tab w:val="left" w:pos="680"/>
        </w:tabs>
        <w:spacing w:before="120" w:after="0"/>
        <w:ind w:left="0" w:firstLine="720"/>
        <w:jc w:val="both"/>
        <w:rPr>
          <w:sz w:val="28"/>
          <w:szCs w:val="28"/>
        </w:rPr>
      </w:pPr>
      <w:r>
        <w:rPr>
          <w:sz w:val="28"/>
        </w:rPr>
        <w:t>- Nộp trên Cổng dịch vụ công của tỉnh (</w:t>
      </w:r>
      <w:hyperlink r:id="rId8" w:history="1">
        <w:r>
          <w:rPr>
            <w:rStyle w:val="Hyperlink"/>
            <w:sz w:val="28"/>
          </w:rPr>
          <w:t>https://dichvucong.ninhbinh.gov.vn</w:t>
        </w:r>
      </w:hyperlink>
      <w:r>
        <w:rPr>
          <w:sz w:val="28"/>
        </w:rPr>
        <w:t>)</w:t>
      </w:r>
    </w:p>
    <w:p w:rsidR="001B601E" w:rsidRDefault="00345EF4">
      <w:pPr>
        <w:spacing w:before="120"/>
        <w:ind w:firstLine="720"/>
        <w:jc w:val="both"/>
        <w:rPr>
          <w:rFonts w:ascii="Times New Roman" w:hAnsi="Times New Roman" w:cs="Times New Roman"/>
          <w:b/>
          <w:i/>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 xml:space="preserve">.3. Thành phần hồ sơ: </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Bản công bố hợp quy theo Mẫu 02. CBHC/HQ quy định tại Phụ lục III Thông tư số 28/2012/TT-BKHCN ngày 12/12/2012.</w:t>
      </w:r>
    </w:p>
    <w:p w:rsidR="001B601E" w:rsidRPr="00F1640A"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Bản sao y bản chính giấy tờ chứng minh về việc thực hiện sản xuất, kinh doanh của tổ chức, cá nhân công bố hợp quy (Giấy đăng ký doanh nghiệp hoặc Giấy đăng ký kinh doanh hoặc Đăng ký hộ kinh doanh hoặc Giấy chứng nhận đầu tư hoặc Giấy tờ khác theo quy định của pháp luậ</w:t>
      </w:r>
      <w:r w:rsidR="00F1640A">
        <w:rPr>
          <w:rFonts w:ascii="Times New Roman" w:hAnsi="Times New Roman" w:cs="Times New Roman"/>
          <w:sz w:val="28"/>
          <w:szCs w:val="28"/>
        </w:rPr>
        <w:t>t);</w:t>
      </w:r>
    </w:p>
    <w:p w:rsidR="001B601E" w:rsidRPr="00F1640A"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Bản sao y bản chính giấy chứng nhận phù hợp quy chuẩn kỹ thuật tương ứng do tổ chức chứng nhận được chỉ định cấp kèm theo mẫu dấu hợp quy của tổ chức chứng nhận được chỉ định cấp cho tổ chứ</w:t>
      </w:r>
      <w:r w:rsidR="00F1640A">
        <w:rPr>
          <w:rFonts w:ascii="Times New Roman" w:hAnsi="Times New Roman" w:cs="Times New Roman"/>
          <w:sz w:val="28"/>
          <w:szCs w:val="28"/>
        </w:rPr>
        <w:t>c, cá nhân.</w:t>
      </w:r>
    </w:p>
    <w:p w:rsidR="001B601E" w:rsidRDefault="00345EF4">
      <w:pPr>
        <w:spacing w:before="120"/>
        <w:ind w:firstLine="720"/>
        <w:jc w:val="both"/>
        <w:rPr>
          <w:rFonts w:ascii="Times New Roman" w:hAnsi="Times New Roman" w:cs="Times New Roman"/>
          <w:b/>
          <w:i/>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.4. Số lượng hồ sơ</w:t>
      </w:r>
    </w:p>
    <w:p w:rsidR="001B601E" w:rsidRDefault="00345EF4">
      <w:pPr>
        <w:spacing w:before="120"/>
        <w:ind w:firstLine="720"/>
        <w:jc w:val="both"/>
        <w:rPr>
          <w:rFonts w:ascii="Times New Roman" w:hAnsi="Times New Roman" w:cs="Times New Roman"/>
          <w:b/>
          <w:i/>
          <w:sz w:val="28"/>
          <w:szCs w:val="28"/>
        </w:rPr>
      </w:pPr>
      <w:r>
        <w:rPr>
          <w:rFonts w:ascii="Times New Roman" w:hAnsi="Times New Roman" w:cs="Times New Roman"/>
          <w:sz w:val="28"/>
          <w:szCs w:val="28"/>
        </w:rPr>
        <w:t>- 01 bộ</w:t>
      </w:r>
    </w:p>
    <w:p w:rsidR="001B601E" w:rsidRDefault="00345EF4">
      <w:pPr>
        <w:spacing w:before="120"/>
        <w:ind w:firstLine="720"/>
        <w:jc w:val="both"/>
        <w:rPr>
          <w:rFonts w:ascii="Times New Roman" w:hAnsi="Times New Roman" w:cs="Times New Roman"/>
          <w:sz w:val="28"/>
          <w:szCs w:val="28"/>
        </w:rPr>
      </w:pPr>
      <w:r w:rsidRPr="00EA63B1">
        <w:rPr>
          <w:rFonts w:ascii="Times New Roman" w:hAnsi="Times New Roman" w:cs="Times New Roman"/>
          <w:b/>
          <w:i/>
          <w:sz w:val="28"/>
          <w:szCs w:val="28"/>
        </w:rPr>
        <w:lastRenderedPageBreak/>
        <w:t>8</w:t>
      </w:r>
      <w:r>
        <w:rPr>
          <w:rFonts w:ascii="Times New Roman" w:hAnsi="Times New Roman" w:cs="Times New Roman"/>
          <w:b/>
          <w:i/>
          <w:sz w:val="28"/>
          <w:szCs w:val="28"/>
        </w:rPr>
        <w:t>.5.Thời hạn giải quyết:</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Trong thời gian 05 (năm) ngày làm việc kể từ ngày nhận được hồ sơ công bố hợp quy.</w:t>
      </w:r>
    </w:p>
    <w:p w:rsidR="001B601E" w:rsidRDefault="00345EF4">
      <w:pPr>
        <w:spacing w:before="120"/>
        <w:ind w:firstLine="720"/>
        <w:jc w:val="both"/>
        <w:rPr>
          <w:rFonts w:ascii="Times New Roman" w:hAnsi="Times New Roman" w:cs="Times New Roman"/>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.6. Đối tượng thực hiện:</w:t>
      </w:r>
    </w:p>
    <w:p w:rsidR="001B601E" w:rsidRDefault="00345EF4">
      <w:pPr>
        <w:spacing w:before="120"/>
        <w:ind w:firstLine="720"/>
        <w:jc w:val="both"/>
        <w:rPr>
          <w:rFonts w:ascii="Times New Roman" w:hAnsi="Times New Roman" w:cs="Times New Roman"/>
          <w:b/>
          <w:i/>
          <w:sz w:val="28"/>
          <w:szCs w:val="28"/>
        </w:rPr>
      </w:pPr>
      <w:r>
        <w:rPr>
          <w:rFonts w:ascii="Times New Roman" w:hAnsi="Times New Roman" w:cs="Times New Roman"/>
          <w:sz w:val="28"/>
          <w:szCs w:val="28"/>
        </w:rPr>
        <w:t>- Tổ chức, cá nhân công bố hợp quy.</w:t>
      </w:r>
    </w:p>
    <w:p w:rsidR="001B601E" w:rsidRDefault="00345EF4">
      <w:pPr>
        <w:spacing w:before="120"/>
        <w:ind w:firstLine="720"/>
        <w:jc w:val="both"/>
        <w:rPr>
          <w:rFonts w:ascii="Times New Roman" w:hAnsi="Times New Roman" w:cs="Times New Roman"/>
          <w:b/>
          <w:i/>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 xml:space="preserve">.7. Cơ quan giải quyết: </w:t>
      </w:r>
    </w:p>
    <w:p w:rsidR="001B601E" w:rsidRDefault="00345EF4">
      <w:pPr>
        <w:spacing w:before="120"/>
        <w:ind w:firstLine="720"/>
        <w:jc w:val="both"/>
        <w:rPr>
          <w:rFonts w:ascii="Times New Roman" w:hAnsi="Times New Roman" w:cs="Times New Roman"/>
          <w:b/>
          <w:i/>
          <w:sz w:val="28"/>
          <w:szCs w:val="28"/>
        </w:rPr>
      </w:pPr>
      <w:r>
        <w:rPr>
          <w:rFonts w:ascii="Times New Roman" w:hAnsi="Times New Roman" w:cs="Times New Roman"/>
          <w:sz w:val="28"/>
          <w:szCs w:val="28"/>
        </w:rPr>
        <w:t>- Sở Xây dựng.</w:t>
      </w:r>
    </w:p>
    <w:p w:rsidR="001B601E" w:rsidRDefault="00345EF4">
      <w:pPr>
        <w:spacing w:before="120"/>
        <w:ind w:firstLine="720"/>
        <w:jc w:val="both"/>
        <w:rPr>
          <w:rFonts w:ascii="Times New Roman" w:hAnsi="Times New Roman" w:cs="Times New Roman"/>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.8. Kết quả thực hiện:</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Thông báo tiếp nhận hồ sơ công bố hợp quy</w:t>
      </w:r>
    </w:p>
    <w:p w:rsidR="001B601E" w:rsidRDefault="00345EF4">
      <w:pPr>
        <w:spacing w:before="120"/>
        <w:ind w:firstLine="720"/>
        <w:jc w:val="both"/>
        <w:rPr>
          <w:rFonts w:ascii="Times New Roman" w:hAnsi="Times New Roman" w:cs="Times New Roman"/>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.9. Phí và lệ phí:</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- 150.000 đồng/hồ sơ (Theo hướng dẫn tại Thông tư số 183/2016/TT-BTC ngày 08/11/2016 của Bộ Tài chính Quy định mức thu, chế độ thu, nộp, quản lý lệ phí cấp giấy đăng ký công bố hợp chuẩn, hợp quy). </w:t>
      </w:r>
    </w:p>
    <w:p w:rsidR="001B601E" w:rsidRDefault="00345EF4">
      <w:pPr>
        <w:spacing w:before="120"/>
        <w:ind w:firstLine="720"/>
        <w:jc w:val="both"/>
        <w:rPr>
          <w:rFonts w:ascii="Times New Roman" w:hAnsi="Times New Roman" w:cs="Times New Roman"/>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.10. Tên mẫu đơn, mẫu tờ khai:</w:t>
      </w:r>
    </w:p>
    <w:p w:rsidR="001B601E" w:rsidRDefault="00345EF4">
      <w:pPr>
        <w:tabs>
          <w:tab w:val="left" w:pos="1560"/>
          <w:tab w:val="center" w:pos="4592"/>
        </w:tabs>
        <w:spacing w:before="120"/>
        <w:ind w:firstLine="720"/>
        <w:jc w:val="both"/>
        <w:rPr>
          <w:rFonts w:ascii="Times New Roman" w:hAnsi="Times New Roman" w:cs="Times New Roman"/>
          <w:i/>
          <w:sz w:val="28"/>
          <w:szCs w:val="28"/>
        </w:rPr>
      </w:pPr>
      <w:r>
        <w:rPr>
          <w:rFonts w:ascii="Times New Roman" w:hAnsi="Times New Roman" w:cs="Times New Roman"/>
          <w:sz w:val="28"/>
          <w:szCs w:val="28"/>
        </w:rPr>
        <w:t xml:space="preserve">- Bản công bố hợp quy theo mẫu 02. CBHC/HQ </w:t>
      </w:r>
      <w:r>
        <w:rPr>
          <w:rFonts w:ascii="Times New Roman" w:hAnsi="Times New Roman" w:cs="Times New Roman"/>
          <w:i/>
          <w:sz w:val="28"/>
          <w:szCs w:val="28"/>
        </w:rPr>
        <w:t>(quy định tại Phụ lục III Thông tư số 28/2012/TT-BKHCN và nội dung bổ sung quy định tại khoản 7 Điều 1 Thông tư số 02/2017/TT-BKHCN)</w:t>
      </w:r>
    </w:p>
    <w:p w:rsidR="001B601E" w:rsidRDefault="00345EF4">
      <w:pPr>
        <w:spacing w:before="120"/>
        <w:ind w:firstLine="720"/>
        <w:jc w:val="both"/>
        <w:rPr>
          <w:rFonts w:ascii="Times New Roman" w:hAnsi="Times New Roman" w:cs="Times New Roman"/>
          <w:b/>
          <w:i/>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 xml:space="preserve">.11. Yêu cầu, điều kiện thực hiện thủ tục hành chính: </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a) Yêu cầu chung</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Công bố hợp quy phải dựa trên kết quả đánh giá, chứng nhận của tổ chức chứng nhận hợp quy;</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Trường hợp sử dụng kết quả đánh giá sự phù hợp của tổ chức đánh giá sự phù hợp nước ngoài để chứng nhận, công bố hợp quy thì tổ chức đánh giá sự phù hợp nước ngoài phải được thừa nhận theo quy định của pháp luật.</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Trường hợp sản phẩm, hàng hóa vật liệu xây dựng được quản lý bởi nhiều quy chuẩn kỹ thuật khác nhau thì sản phẩm, hàng hóa đó phải được thực hiện đăng ký công bố hợp quy tại các cơ quan chuyên ngành tương ứng và dấu hợp quy chỉ được sử dụng khi sản phẩm, hàng hóa đó đã thực hiện đầy đủ các biện pháp quản lý theo quy định tại các quy chuẩn kỹ thuật tương ứng.</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b) Điều kiện để thực hiện</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Hồ sơ hợp lệ theo quy định;</w:t>
      </w:r>
    </w:p>
    <w:p w:rsidR="001B601E" w:rsidRDefault="00345EF4">
      <w:pPr>
        <w:spacing w:before="120"/>
        <w:ind w:firstLine="720"/>
        <w:jc w:val="both"/>
        <w:rPr>
          <w:rFonts w:ascii="Times New Roman" w:hAnsi="Times New Roman" w:cs="Times New Roman"/>
          <w:sz w:val="28"/>
          <w:szCs w:val="28"/>
        </w:rPr>
      </w:pPr>
      <w:r>
        <w:rPr>
          <w:rFonts w:ascii="Times New Roman" w:hAnsi="Times New Roman" w:cs="Times New Roman"/>
          <w:sz w:val="28"/>
          <w:szCs w:val="28"/>
        </w:rPr>
        <w:t>- Kê khai đúng chủng loại sản phẩm, hàng hóa vật liệu xây dựng phù hợp với danh mục sản phẩm quy định tại Bảng 1 Phần 2 QCVN 16:2019/BXD. Trong trường hợp không rõ chủng loại sản phẩm, các tổ chức, cá nhản có liên quan phải phối hợp với tổ chức chứng nhận hợp quy, tổ chức thử nghiệm để thực hiện việc định danh chủng loại sản phẫm.</w:t>
      </w:r>
    </w:p>
    <w:p w:rsidR="001B601E" w:rsidRDefault="00345EF4">
      <w:pPr>
        <w:spacing w:before="120"/>
        <w:ind w:firstLine="720"/>
        <w:jc w:val="both"/>
        <w:rPr>
          <w:rFonts w:ascii="Times New Roman" w:hAnsi="Times New Roman" w:cs="Times New Roman"/>
          <w:b/>
          <w:i/>
          <w:sz w:val="28"/>
          <w:szCs w:val="28"/>
        </w:rPr>
      </w:pPr>
      <w:r w:rsidRPr="00EA63B1">
        <w:rPr>
          <w:rFonts w:ascii="Times New Roman" w:hAnsi="Times New Roman" w:cs="Times New Roman"/>
          <w:b/>
          <w:i/>
          <w:sz w:val="28"/>
          <w:szCs w:val="28"/>
        </w:rPr>
        <w:t>8</w:t>
      </w:r>
      <w:r>
        <w:rPr>
          <w:rFonts w:ascii="Times New Roman" w:hAnsi="Times New Roman" w:cs="Times New Roman"/>
          <w:b/>
          <w:i/>
          <w:sz w:val="28"/>
          <w:szCs w:val="28"/>
        </w:rPr>
        <w:t xml:space="preserve">.12. Căn cứ pháp lý của thủ tục hành chính: </w:t>
      </w:r>
    </w:p>
    <w:p w:rsidR="001B601E" w:rsidRDefault="00345EF4">
      <w:pPr>
        <w:pStyle w:val="BodyTextIndent2"/>
        <w:spacing w:before="120" w:after="0" w:line="240" w:lineRule="auto"/>
        <w:ind w:left="0" w:firstLine="720"/>
        <w:jc w:val="both"/>
        <w:rPr>
          <w:sz w:val="28"/>
          <w:szCs w:val="28"/>
          <w:lang w:val="pl-PL"/>
        </w:rPr>
      </w:pPr>
      <w:r>
        <w:rPr>
          <w:sz w:val="28"/>
          <w:szCs w:val="28"/>
          <w:lang w:val="pl-PL"/>
        </w:rPr>
        <w:t>- Luật Chất lượng sản phẩm, hàng hóa (có hiệu lực từ ngày 01/7/2008).</w:t>
      </w:r>
    </w:p>
    <w:p w:rsidR="001B601E" w:rsidRDefault="00345EF4">
      <w:pPr>
        <w:pStyle w:val="BodyTextIndent2"/>
        <w:spacing w:before="120" w:after="0" w:line="240" w:lineRule="auto"/>
        <w:ind w:left="0" w:firstLine="720"/>
        <w:jc w:val="both"/>
        <w:rPr>
          <w:sz w:val="28"/>
          <w:szCs w:val="28"/>
          <w:lang w:val="pl-PL"/>
        </w:rPr>
      </w:pPr>
      <w:r>
        <w:rPr>
          <w:sz w:val="28"/>
          <w:szCs w:val="28"/>
          <w:lang w:val="pl-PL"/>
        </w:rPr>
        <w:lastRenderedPageBreak/>
        <w:t>- Luật Tiêu chuẩn và Quy chuẩn kỹ thuật (có hiệu lực từ ngày 01/01/2007).</w:t>
      </w:r>
    </w:p>
    <w:p w:rsidR="001B601E" w:rsidRDefault="00345EF4">
      <w:pPr>
        <w:pStyle w:val="BodyTextIndent2"/>
        <w:spacing w:before="120" w:after="0" w:line="240" w:lineRule="auto"/>
        <w:ind w:left="0" w:firstLine="720"/>
        <w:jc w:val="both"/>
        <w:rPr>
          <w:sz w:val="28"/>
          <w:szCs w:val="28"/>
          <w:lang w:val="pl-PL"/>
        </w:rPr>
      </w:pPr>
      <w:r>
        <w:rPr>
          <w:sz w:val="28"/>
          <w:szCs w:val="28"/>
          <w:lang w:val="pl-PL"/>
        </w:rPr>
        <w:t xml:space="preserve">- </w:t>
      </w:r>
      <w:r>
        <w:rPr>
          <w:sz w:val="28"/>
          <w:szCs w:val="28"/>
        </w:rPr>
        <w:t>Thông tư số 28/2012/TT-BKHCN</w:t>
      </w:r>
      <w:r>
        <w:rPr>
          <w:sz w:val="28"/>
          <w:szCs w:val="28"/>
          <w:lang w:val="pl-PL"/>
        </w:rPr>
        <w:t xml:space="preserve"> ngày 12/12/2012 của Bộ Khoa học và Công nghệ quy định về công bố hợp chuẩn, công bố hợp quy và phương thức đánh giá sự phù hợp với tiêu chuẩn, quy chuẩn kỹ thuật;</w:t>
      </w:r>
    </w:p>
    <w:p w:rsidR="001B601E" w:rsidRDefault="00345EF4">
      <w:pPr>
        <w:pStyle w:val="BodyTextIndent2"/>
        <w:spacing w:before="120" w:after="0" w:line="240" w:lineRule="auto"/>
        <w:ind w:left="0" w:firstLine="720"/>
        <w:jc w:val="both"/>
        <w:rPr>
          <w:sz w:val="28"/>
          <w:szCs w:val="28"/>
          <w:lang w:val="pl-PL"/>
        </w:rPr>
      </w:pPr>
      <w:r>
        <w:rPr>
          <w:sz w:val="28"/>
          <w:szCs w:val="28"/>
          <w:lang w:val="pl-PL"/>
        </w:rPr>
        <w:t xml:space="preserve">- </w:t>
      </w:r>
      <w:r>
        <w:rPr>
          <w:sz w:val="28"/>
          <w:szCs w:val="28"/>
        </w:rPr>
        <w:t>Thông tư số 02/2017/TT-BKHCN ngày 31/3/2017 của Bộ trưởng Bộ Khoa học và Công nghệ sửa đổi bổ sung một số điều của Thông tư số 28/2012/TT-BKHCN</w:t>
      </w:r>
      <w:r>
        <w:rPr>
          <w:sz w:val="28"/>
          <w:szCs w:val="28"/>
          <w:lang w:val="pl-PL"/>
        </w:rPr>
        <w:t>;</w:t>
      </w:r>
    </w:p>
    <w:p w:rsidR="001B601E" w:rsidRDefault="00345EF4">
      <w:pPr>
        <w:spacing w:before="120"/>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 </w:t>
      </w:r>
      <w:r>
        <w:rPr>
          <w:rFonts w:ascii="Times New Roman" w:hAnsi="Times New Roman" w:cs="Times New Roman"/>
          <w:sz w:val="28"/>
          <w:szCs w:val="28"/>
        </w:rPr>
        <w:t>Thông tư số 183/2016/TT-BTC ngày 08/11/2016 của Bộ Tài chính Quy định mức thu, chế độ thu, nộp, quản lý lệ phí cấp giấy đăng ký công bố hợp chuẩn, hợp quy</w:t>
      </w:r>
      <w:r>
        <w:rPr>
          <w:rFonts w:ascii="Times New Roman" w:hAnsi="Times New Roman" w:cs="Times New Roman"/>
          <w:sz w:val="28"/>
          <w:szCs w:val="28"/>
          <w:lang w:val="pl-PL"/>
        </w:rPr>
        <w:t xml:space="preserve">; </w:t>
      </w:r>
    </w:p>
    <w:p w:rsidR="001B601E" w:rsidRDefault="00345EF4">
      <w:pPr>
        <w:spacing w:before="120"/>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 Thông tư số 19/2019/TT-BXD ngày 31/12/2019 ban hành Quy chuẩn kỹ thuật quốc gia về sản phẩm, hàng hóa vật liệu xây dựng. </w:t>
      </w:r>
    </w:p>
    <w:p w:rsidR="001B601E" w:rsidRDefault="00345EF4">
      <w:pPr>
        <w:spacing w:before="120"/>
        <w:ind w:firstLine="720"/>
        <w:jc w:val="both"/>
        <w:rPr>
          <w:rFonts w:ascii="Times New Roman" w:hAnsi="Times New Roman" w:cs="Times New Roman"/>
          <w:spacing w:val="-6"/>
          <w:sz w:val="28"/>
          <w:szCs w:val="28"/>
          <w:lang w:val="pl-PL"/>
        </w:rPr>
      </w:pPr>
      <w:r>
        <w:rPr>
          <w:rFonts w:ascii="Times New Roman" w:hAnsi="Times New Roman" w:cs="Times New Roman"/>
          <w:spacing w:val="-6"/>
          <w:sz w:val="28"/>
          <w:szCs w:val="28"/>
          <w:lang w:val="pl-PL"/>
        </w:rPr>
        <w:t xml:space="preserve">- </w:t>
      </w:r>
      <w:r>
        <w:rPr>
          <w:rFonts w:ascii="Times New Roman" w:hAnsi="Times New Roman" w:cs="Times New Roman"/>
          <w:spacing w:val="-6"/>
          <w:sz w:val="28"/>
          <w:szCs w:val="28"/>
        </w:rPr>
        <w:t>Thông tư số 183/2016/TT-BTC ngày 08/11/2016 của Bộ Tài chính Quy định mức thu, chế độ thu, nộp, quản lý lệ phí cấp giấy đăng ký công bố hợp chuẩn, hợp quy</w:t>
      </w:r>
      <w:r>
        <w:rPr>
          <w:rFonts w:ascii="Times New Roman" w:hAnsi="Times New Roman" w:cs="Times New Roman"/>
          <w:spacing w:val="-6"/>
          <w:sz w:val="28"/>
          <w:szCs w:val="28"/>
          <w:lang w:val="pl-PL"/>
        </w:rPr>
        <w:t>.</w:t>
      </w:r>
    </w:p>
    <w:p w:rsidR="001B601E" w:rsidRDefault="00345EF4">
      <w:pPr>
        <w:tabs>
          <w:tab w:val="left" w:pos="7050"/>
        </w:tabs>
        <w:rPr>
          <w:rFonts w:ascii="Times New Roman" w:hAnsi="Times New Roman" w:cs="Times New Roman"/>
          <w:sz w:val="28"/>
          <w:szCs w:val="28"/>
          <w:lang w:val="pl-PL"/>
        </w:rPr>
      </w:pPr>
      <w:r>
        <w:rPr>
          <w:rFonts w:ascii="Times New Roman" w:hAnsi="Times New Roman" w:cs="Times New Roman"/>
          <w:sz w:val="28"/>
          <w:szCs w:val="28"/>
          <w:lang w:val="pl-PL"/>
        </w:rPr>
        <w:tab/>
      </w:r>
    </w:p>
    <w:p w:rsidR="001B601E" w:rsidRDefault="00345EF4">
      <w:pPr>
        <w:pStyle w:val="NormalWeb"/>
        <w:shd w:val="clear" w:color="auto" w:fill="FFFFFF"/>
        <w:spacing w:before="0" w:beforeAutospacing="0" w:after="0" w:afterAutospacing="0" w:line="234" w:lineRule="atLeast"/>
        <w:jc w:val="right"/>
        <w:rPr>
          <w:rFonts w:ascii="Arial" w:hAnsi="Arial" w:cs="Arial"/>
          <w:color w:val="000000"/>
          <w:sz w:val="18"/>
          <w:szCs w:val="18"/>
        </w:rPr>
      </w:pPr>
      <w:r>
        <w:rPr>
          <w:sz w:val="28"/>
          <w:szCs w:val="28"/>
          <w:lang w:val="pl-PL"/>
        </w:rPr>
        <w:br w:type="page"/>
      </w:r>
      <w:bookmarkStart w:id="1" w:name="dieu_phuluc2"/>
      <w:r>
        <w:rPr>
          <w:rFonts w:ascii="Arial" w:hAnsi="Arial" w:cs="Arial"/>
          <w:b/>
          <w:bCs/>
          <w:color w:val="000000"/>
          <w:sz w:val="20"/>
          <w:szCs w:val="20"/>
          <w:shd w:val="clear" w:color="auto" w:fill="FFFF96"/>
          <w:lang w:val="pl-PL"/>
        </w:rPr>
        <w:lastRenderedPageBreak/>
        <w:br/>
      </w:r>
      <w:r>
        <w:rPr>
          <w:rFonts w:ascii="Arial" w:hAnsi="Arial" w:cs="Arial"/>
          <w:b/>
          <w:bCs/>
          <w:color w:val="000000"/>
          <w:sz w:val="20"/>
          <w:szCs w:val="20"/>
        </w:rPr>
        <w:t>Mẫu 2. CBHC/HQ</w:t>
      </w:r>
      <w:r>
        <w:rPr>
          <w:rFonts w:ascii="Arial" w:hAnsi="Arial" w:cs="Arial"/>
          <w:b/>
          <w:bCs/>
          <w:color w:val="000000"/>
          <w:sz w:val="20"/>
          <w:szCs w:val="20"/>
          <w:shd w:val="clear" w:color="auto" w:fill="FFFF96"/>
        </w:rPr>
        <w:br/>
      </w:r>
      <w:r>
        <w:rPr>
          <w:rFonts w:ascii="Arial" w:hAnsi="Arial" w:cs="Arial"/>
          <w:color w:val="000000"/>
          <w:sz w:val="20"/>
          <w:szCs w:val="20"/>
        </w:rPr>
        <w:t>28/2012/TT-BKHCN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9"/>
        <w:gridCol w:w="4641"/>
      </w:tblGrid>
      <w:tr w:rsidR="001B601E">
        <w:trPr>
          <w:tblCellSpacing w:w="0" w:type="dxa"/>
        </w:trPr>
        <w:tc>
          <w:tcPr>
            <w:tcW w:w="15760"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1B601E" w:rsidRDefault="00345EF4">
            <w:pPr>
              <w:widowControl/>
              <w:spacing w:before="120" w:after="120" w:line="234" w:lineRule="atLeast"/>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b/>
                <w:bCs/>
                <w:sz w:val="28"/>
                <w:szCs w:val="28"/>
                <w:lang w:val="en-US" w:eastAsia="en-US"/>
              </w:rPr>
              <w:t>CỘNG HÒA XÃ HỘI CHỦ NGHĨA VIỆT NAM</w:t>
            </w:r>
            <w:r>
              <w:rPr>
                <w:rFonts w:ascii="Times New Roman" w:eastAsia="Times New Roman" w:hAnsi="Times New Roman" w:cs="Times New Roman"/>
                <w:b/>
                <w:bCs/>
                <w:sz w:val="28"/>
                <w:szCs w:val="28"/>
                <w:lang w:val="en-US" w:eastAsia="en-US"/>
              </w:rPr>
              <w:br/>
              <w:t>Độc lập - Tự do - Hạnh phúc</w:t>
            </w:r>
            <w:r>
              <w:rPr>
                <w:rFonts w:ascii="Times New Roman" w:eastAsia="Times New Roman" w:hAnsi="Times New Roman" w:cs="Times New Roman"/>
                <w:b/>
                <w:bCs/>
                <w:sz w:val="28"/>
                <w:szCs w:val="28"/>
                <w:lang w:val="en-US" w:eastAsia="en-US"/>
              </w:rPr>
              <w:br/>
              <w:t>----------------</w:t>
            </w:r>
          </w:p>
          <w:p w:rsidR="001B601E" w:rsidRDefault="00345EF4">
            <w:pPr>
              <w:widowControl/>
              <w:spacing w:before="120" w:after="120" w:line="234" w:lineRule="atLeast"/>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b/>
                <w:bCs/>
                <w:sz w:val="28"/>
                <w:szCs w:val="28"/>
                <w:lang w:val="en-US" w:eastAsia="en-US"/>
              </w:rPr>
              <w:t> </w:t>
            </w:r>
          </w:p>
          <w:p w:rsidR="001B601E" w:rsidRDefault="00345EF4">
            <w:pPr>
              <w:widowControl/>
              <w:spacing w:line="234" w:lineRule="atLeast"/>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b/>
                <w:bCs/>
                <w:sz w:val="28"/>
                <w:szCs w:val="28"/>
                <w:lang w:val="en-US" w:eastAsia="en-US"/>
              </w:rPr>
              <w:t>BẢN CÔNG BỐ HỢP CHUẨN/HỢP QUY</w:t>
            </w:r>
          </w:p>
          <w:p w:rsidR="001B601E" w:rsidRDefault="00345EF4">
            <w:pPr>
              <w:widowControl/>
              <w:spacing w:before="120" w:after="120" w:line="234" w:lineRule="atLeast"/>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Số ………………………….</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Tên tổ chức, cá nhân: ……………………………………………………………</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Địa chỉ: …………………………..………………………………………………</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Điện thoại: ………………………………Fax: …………………………………</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E-mail: …………………………..………………………………………………</w:t>
            </w:r>
          </w:p>
          <w:p w:rsidR="001B601E" w:rsidRDefault="00345EF4">
            <w:pPr>
              <w:widowControl/>
              <w:spacing w:before="120" w:after="120" w:line="234" w:lineRule="atLeast"/>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b/>
                <w:bCs/>
                <w:sz w:val="28"/>
                <w:szCs w:val="28"/>
                <w:lang w:val="en-US" w:eastAsia="en-US"/>
              </w:rPr>
              <w:t>CÔNG BỐ:</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Sản phẩm, hàng hóa, quá trình, dịch vụ, môi trường (</w:t>
            </w:r>
            <w:r>
              <w:rPr>
                <w:rFonts w:ascii="Times New Roman" w:eastAsia="Times New Roman" w:hAnsi="Times New Roman" w:cs="Times New Roman"/>
                <w:i/>
                <w:iCs/>
                <w:sz w:val="28"/>
                <w:szCs w:val="28"/>
                <w:lang w:val="en-US" w:eastAsia="en-US"/>
              </w:rPr>
              <w:t>tên gọi, kiểu, loại, nhãn hiệu, đặc trưng kỹ thuật,...</w:t>
            </w:r>
            <w:r>
              <w:rPr>
                <w:rFonts w:ascii="Times New Roman" w:eastAsia="Times New Roman" w:hAnsi="Times New Roman" w:cs="Times New Roman"/>
                <w:sz w:val="28"/>
                <w:szCs w:val="28"/>
                <w:lang w:val="en-US" w:eastAsia="en-US"/>
              </w:rPr>
              <w:t> )</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Phù hợp với tiêu chuẩn/quy chuẩn kỹ thuật (</w:t>
            </w:r>
            <w:r>
              <w:rPr>
                <w:rFonts w:ascii="Times New Roman" w:eastAsia="Times New Roman" w:hAnsi="Times New Roman" w:cs="Times New Roman"/>
                <w:i/>
                <w:iCs/>
                <w:sz w:val="28"/>
                <w:szCs w:val="28"/>
                <w:lang w:val="en-US" w:eastAsia="en-US"/>
              </w:rPr>
              <w:t>số hiệu, ký hiệu, tên gọi</w:t>
            </w: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Thông tin bổ sung (</w:t>
            </w:r>
            <w:r>
              <w:rPr>
                <w:rFonts w:ascii="Times New Roman" w:eastAsia="Times New Roman" w:hAnsi="Times New Roman" w:cs="Times New Roman"/>
                <w:i/>
                <w:iCs/>
                <w:sz w:val="28"/>
                <w:szCs w:val="28"/>
                <w:lang w:val="en-US" w:eastAsia="en-US"/>
              </w:rPr>
              <w:t>căn cứ công bố hợp chuẩn/hợp quy, phương thức đánh giá sự phù hợp...</w:t>
            </w: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.....(Tên tổ chức, cá nhân) .... cam kết và chịu trách nhiệm về tính phù hợp của …. (sản phẩm, hàng hóa, quá trình, dịch vụ, môi trường)…….. do mình sản xuất, kinh doanh, bảo quản, vận chuyển, sử dụng, khai thác.</w:t>
            </w:r>
          </w:p>
          <w:p w:rsidR="001B601E" w:rsidRDefault="00345EF4">
            <w:pPr>
              <w:widowControl/>
              <w:spacing w:before="120" w:after="120" w:line="234" w:lineRule="atLeast"/>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w:t>
            </w:r>
          </w:p>
        </w:tc>
      </w:tr>
      <w:bookmarkEnd w:id="1"/>
      <w:tr w:rsidR="001B601E">
        <w:trPr>
          <w:tblCellSpacing w:w="0" w:type="dxa"/>
        </w:trPr>
        <w:tc>
          <w:tcPr>
            <w:tcW w:w="78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1B601E" w:rsidRDefault="00345EF4">
            <w:pPr>
              <w:widowControl/>
              <w:spacing w:before="120" w:after="120" w:line="234" w:lineRule="atLeast"/>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w:t>
            </w:r>
          </w:p>
        </w:tc>
        <w:tc>
          <w:tcPr>
            <w:tcW w:w="7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601E" w:rsidRDefault="00345EF4">
            <w:pPr>
              <w:widowControl/>
              <w:spacing w:before="120" w:after="120" w:line="234" w:lineRule="atLeast"/>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i/>
                <w:iCs/>
                <w:sz w:val="28"/>
                <w:szCs w:val="28"/>
                <w:lang w:val="en-US" w:eastAsia="en-US"/>
              </w:rPr>
              <w:t>…………., ngày …… tháng …… năm ….</w:t>
            </w:r>
            <w:r>
              <w:rPr>
                <w:rFonts w:ascii="Times New Roman" w:eastAsia="Times New Roman" w:hAnsi="Times New Roman" w:cs="Times New Roman"/>
                <w:sz w:val="28"/>
                <w:szCs w:val="28"/>
                <w:lang w:val="en-US" w:eastAsia="en-US"/>
              </w:rPr>
              <w:br/>
            </w:r>
            <w:r>
              <w:rPr>
                <w:rFonts w:ascii="Times New Roman" w:eastAsia="Times New Roman" w:hAnsi="Times New Roman" w:cs="Times New Roman"/>
                <w:b/>
                <w:bCs/>
                <w:sz w:val="28"/>
                <w:szCs w:val="28"/>
                <w:lang w:val="en-US" w:eastAsia="en-US"/>
              </w:rPr>
              <w:t>Đại diện Tổ chức, cá nhân</w:t>
            </w:r>
            <w:r>
              <w:rPr>
                <w:rFonts w:ascii="Times New Roman" w:eastAsia="Times New Roman" w:hAnsi="Times New Roman" w:cs="Times New Roman"/>
                <w:sz w:val="28"/>
                <w:szCs w:val="28"/>
                <w:lang w:val="en-US" w:eastAsia="en-US"/>
              </w:rPr>
              <w:br/>
              <w:t>(Ký tên, chức vụ, đóng dấu)</w:t>
            </w:r>
          </w:p>
          <w:p w:rsidR="001B601E" w:rsidRDefault="00345EF4">
            <w:pPr>
              <w:widowControl/>
              <w:spacing w:before="120" w:after="120" w:line="234" w:lineRule="atLeast"/>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i/>
                <w:iCs/>
                <w:sz w:val="28"/>
                <w:szCs w:val="28"/>
                <w:lang w:val="en-US" w:eastAsia="en-US"/>
              </w:rPr>
              <w:t> </w:t>
            </w:r>
          </w:p>
        </w:tc>
      </w:tr>
    </w:tbl>
    <w:p w:rsidR="001B601E" w:rsidRDefault="00345EF4">
      <w:pPr>
        <w:widowControl/>
        <w:shd w:val="clear" w:color="auto" w:fill="FFFFFF"/>
        <w:spacing w:before="120" w:after="120" w:line="234" w:lineRule="atLeast"/>
        <w:jc w:val="right"/>
        <w:rPr>
          <w:rFonts w:ascii="Arial" w:eastAsia="Times New Roman" w:hAnsi="Arial" w:cs="Arial"/>
          <w:sz w:val="18"/>
          <w:szCs w:val="18"/>
          <w:lang w:val="en-US" w:eastAsia="en-US"/>
        </w:rPr>
      </w:pPr>
      <w:r>
        <w:rPr>
          <w:rFonts w:ascii="Arial" w:eastAsia="Times New Roman" w:hAnsi="Arial" w:cs="Arial"/>
          <w:b/>
          <w:bCs/>
          <w:sz w:val="20"/>
          <w:szCs w:val="20"/>
          <w:lang w:val="en-US" w:eastAsia="en-US"/>
        </w:rPr>
        <w:t> </w:t>
      </w:r>
      <w:bookmarkStart w:id="2" w:name="_GoBack"/>
      <w:bookmarkEnd w:id="0"/>
      <w:bookmarkEnd w:id="2"/>
    </w:p>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44" w:rsidRDefault="007A3044">
      <w:r>
        <w:separator/>
      </w:r>
    </w:p>
  </w:endnote>
  <w:endnote w:type="continuationSeparator" w:id="0">
    <w:p w:rsidR="007A3044" w:rsidRDefault="007A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44" w:rsidRDefault="007A3044">
      <w:r>
        <w:separator/>
      </w:r>
    </w:p>
  </w:footnote>
  <w:footnote w:type="continuationSeparator" w:id="0">
    <w:p w:rsidR="007A3044" w:rsidRDefault="007A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96A45">
      <w:rPr>
        <w:rFonts w:ascii="Times New Roman" w:hAnsi="Times New Roman" w:cs="Times New Roman"/>
        <w:noProof/>
      </w:rPr>
      <w:t>3</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0E33A3"/>
    <w:rsid w:val="00106D16"/>
    <w:rsid w:val="001830EE"/>
    <w:rsid w:val="001A12A9"/>
    <w:rsid w:val="001B601E"/>
    <w:rsid w:val="002C345F"/>
    <w:rsid w:val="002C3CA2"/>
    <w:rsid w:val="002C5266"/>
    <w:rsid w:val="00345EF4"/>
    <w:rsid w:val="00410D68"/>
    <w:rsid w:val="00437DAB"/>
    <w:rsid w:val="00441FA2"/>
    <w:rsid w:val="004754B3"/>
    <w:rsid w:val="004A13FA"/>
    <w:rsid w:val="004F6D2C"/>
    <w:rsid w:val="00506266"/>
    <w:rsid w:val="00517E4E"/>
    <w:rsid w:val="00582A7E"/>
    <w:rsid w:val="005A13D5"/>
    <w:rsid w:val="005E049E"/>
    <w:rsid w:val="005F2CB2"/>
    <w:rsid w:val="005F7255"/>
    <w:rsid w:val="00611A84"/>
    <w:rsid w:val="00637CAB"/>
    <w:rsid w:val="00663F61"/>
    <w:rsid w:val="006B39D3"/>
    <w:rsid w:val="006D0EC8"/>
    <w:rsid w:val="007172AA"/>
    <w:rsid w:val="007A3044"/>
    <w:rsid w:val="007B16D4"/>
    <w:rsid w:val="007D1CDA"/>
    <w:rsid w:val="007D2285"/>
    <w:rsid w:val="00841890"/>
    <w:rsid w:val="00896A45"/>
    <w:rsid w:val="00976C2D"/>
    <w:rsid w:val="00982C36"/>
    <w:rsid w:val="009B1D5E"/>
    <w:rsid w:val="009B3D4B"/>
    <w:rsid w:val="00AF4A13"/>
    <w:rsid w:val="00AF7512"/>
    <w:rsid w:val="00B2309B"/>
    <w:rsid w:val="00B9082B"/>
    <w:rsid w:val="00CB1524"/>
    <w:rsid w:val="00D12F3A"/>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E636-5770-494E-AF21-6E7689EC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2021-09-27T15:18:00Z</dcterms:created>
  <dcterms:modified xsi:type="dcterms:W3CDTF">2021-09-27T15:18:00Z</dcterms:modified>
</cp:coreProperties>
</file>