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after="120"/>
        <w:ind w:firstLine="720"/>
        <w:jc w:val="both"/>
        <w:rPr>
          <w:rFonts w:ascii="Times New Roman" w:hAnsi="Times New Roman" w:cs="Times New Roman"/>
          <w:b/>
          <w:sz w:val="28"/>
        </w:rPr>
      </w:pPr>
      <w:bookmarkStart w:id="0" w:name="dieu_1_2"/>
      <w:r>
        <w:rPr>
          <w:rFonts w:ascii="Times New Roman" w:hAnsi="Times New Roman" w:cs="Times New Roman"/>
          <w:b/>
          <w:sz w:val="28"/>
        </w:rPr>
        <w:t>1. Thủ tục công nhận chủ đầu tư dự án xây dựng nhà ở thuộc thẩm quyền của Ủy ban nhân dân tỉnh (trong trường hợp có nhiều nhà đầu tư dự án xây dựng nhà ở thương mại được chấp thuận chủ trương đầu tư theo pháp luật về đầu tư)</w:t>
      </w:r>
      <w:bookmarkEnd w:id="0"/>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1.1. Trình tự thực hiện: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Trường hợp có nhiều nhà đầu tư dự án xây dựng nhà ở được chấp thuận chủ trương đầu tư theo pháp luật về đầu tư thì nhà đầu tư được ủy quyền hoặc doanh nghiệp, hợp tác xã được các nhà đầu tư thành lập nộphồ sơ theo quy định trực tiếp, qua đường bưu điện hoặc trực tuyến cho Trung tâm Phục vụ hành chính công tỉnh</w:t>
      </w:r>
      <w:r w:rsidR="007D2285">
        <w:rPr>
          <w:rFonts w:ascii="Times New Roman" w:hAnsi="Times New Roman" w:cs="Times New Roman"/>
          <w:sz w:val="28"/>
        </w:rPr>
        <w:t xml:space="preserve"> </w:t>
      </w:r>
      <w:r>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z w:val="28"/>
        </w:rPr>
        <w:t xml:space="preserve">để Sở </w:t>
      </w:r>
      <w:r w:rsidRPr="00B9082B">
        <w:rPr>
          <w:rFonts w:ascii="Times New Roman" w:hAnsi="Times New Roman" w:cs="Times New Roman"/>
          <w:spacing w:val="-6"/>
          <w:sz w:val="28"/>
        </w:rPr>
        <w:t>Xây dựng xem xét, trình Ủy ban nhân dân tỉnh quyết định công nhận chủ đầu tư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Trong thời hạn 20 ngày, kể từ ngày nhận đủ hồ sơ theo quy định, Ủy ban nhân dân xem xét, ban hành Quyết định công nhận chủ đầu tư dự án xây dựng nhà ở theo thẩm quyền. Trường hợp nhà đầu tư không đủ điều kiện được công nhận chủ đầu tư thì trong thời hạn 05 ngày, kể từ ngày nhận được hồ sơ, Sở Xây dựng có văn bản thông báo cho nhà đầu tư đó biết rõ lý do.</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after="120"/>
        <w:ind w:firstLine="720"/>
        <w:jc w:val="both"/>
        <w:rPr>
          <w:rFonts w:ascii="Times New Roman" w:hAnsi="Times New Roman" w:cs="Times New Roman"/>
          <w:b/>
          <w:i/>
          <w:sz w:val="28"/>
        </w:rPr>
      </w:pPr>
      <w:r>
        <w:rPr>
          <w:rFonts w:ascii="Times New Roman" w:hAnsi="Times New Roman" w:cs="Times New Roman"/>
          <w:b/>
          <w:i/>
          <w:sz w:val="28"/>
        </w:rPr>
        <w:t>1.3. Thành phần hồ sơ, số lượng hồ sơ:</w:t>
      </w:r>
    </w:p>
    <w:p w:rsidR="001B601E" w:rsidRDefault="00345EF4">
      <w:pPr>
        <w:spacing w:before="120" w:after="120"/>
        <w:ind w:firstLine="720"/>
        <w:jc w:val="both"/>
        <w:rPr>
          <w:rFonts w:ascii="Times New Roman" w:hAnsi="Times New Roman" w:cs="Times New Roman"/>
          <w:i/>
          <w:sz w:val="28"/>
        </w:rPr>
      </w:pPr>
      <w:r>
        <w:rPr>
          <w:rFonts w:ascii="Times New Roman" w:hAnsi="Times New Roman" w:cs="Times New Roman"/>
          <w:i/>
          <w:sz w:val="28"/>
        </w:rPr>
        <w:t>a) Thành phần hồ sơ:</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Văn bản đề nghị của nhà đầu tư (trong đó ghi rõ tên, địa chỉ nhà đầu tư, các đề xuất, dự kiến tiến độ thực hiện dự án);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Bản sao có chứng thực hoặc bản sao kèm xuất trình bản chính các giấy tờ sau để đối chiếu:</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Văn bản chấp thuận chủ trương đầu tư dự án của Sở Xây dựng;</w:t>
      </w:r>
    </w:p>
    <w:p w:rsidR="001B601E" w:rsidRDefault="00345EF4">
      <w:pPr>
        <w:spacing w:before="120" w:after="120"/>
        <w:ind w:firstLine="720"/>
        <w:jc w:val="both"/>
        <w:rPr>
          <w:rFonts w:ascii="Times New Roman" w:hAnsi="Times New Roman" w:cs="Times New Roman"/>
          <w:spacing w:val="-8"/>
          <w:sz w:val="28"/>
        </w:rPr>
      </w:pPr>
      <w:r>
        <w:rPr>
          <w:rFonts w:ascii="Times New Roman" w:hAnsi="Times New Roman" w:cs="Times New Roman"/>
          <w:spacing w:val="-8"/>
          <w:sz w:val="28"/>
        </w:rPr>
        <w:t>+ Giấy chứng nhận đăng ký doanh nghiệp hoặc Giấy chứng nhận đăng ký đầu tư;</w:t>
      </w:r>
    </w:p>
    <w:p w:rsidR="001B601E" w:rsidRDefault="00345EF4">
      <w:pPr>
        <w:spacing w:before="120" w:after="120"/>
        <w:ind w:firstLine="720"/>
        <w:jc w:val="both"/>
        <w:rPr>
          <w:rFonts w:ascii="Times New Roman" w:hAnsi="Times New Roman" w:cs="Times New Roman"/>
          <w:spacing w:val="-8"/>
          <w:sz w:val="28"/>
        </w:rPr>
      </w:pPr>
      <w:r>
        <w:rPr>
          <w:rFonts w:ascii="Times New Roman" w:hAnsi="Times New Roman" w:cs="Times New Roman"/>
          <w:spacing w:val="-8"/>
          <w:sz w:val="28"/>
        </w:rPr>
        <w:t>+ Giấy tờ chứng minh quyền sử dụng đất để thực hiện dự án, hợp đồng ủy quyền;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Giấy tờ chứng minh năng lực tài chính để thực hiện dự án theo quy định của pháp luật về đất đai;</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Giấy tờ chứng minh có vốn ký quỹ hoặc bảo lãnh ngân hàng về nghĩa vụ ký quỹ thực hiện dự án theo quy định của pháp luật về đầu tư.</w:t>
      </w:r>
    </w:p>
    <w:p w:rsidR="001B601E" w:rsidRDefault="00345EF4">
      <w:pPr>
        <w:spacing w:before="120" w:after="120"/>
        <w:ind w:firstLine="720"/>
        <w:jc w:val="both"/>
        <w:rPr>
          <w:rFonts w:ascii="Times New Roman" w:hAnsi="Times New Roman" w:cs="Times New Roman"/>
          <w:spacing w:val="-4"/>
          <w:sz w:val="28"/>
        </w:rPr>
      </w:pPr>
      <w:r>
        <w:rPr>
          <w:rFonts w:ascii="Times New Roman" w:hAnsi="Times New Roman" w:cs="Times New Roman"/>
          <w:spacing w:val="-4"/>
          <w:sz w:val="28"/>
        </w:rPr>
        <w:t>Trường hợp cơ sở dữ liệu về dân cư, về đăng ký đầu tư, về doanh nghiệp được kết nối vận hành và công dân đã được cấp số định danh cá nhân thì được sử dụng số định danh cá nhân thay thế cho các giấy tờ liên quan đến nhân thân nêu trên.</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i/>
          <w:sz w:val="28"/>
        </w:rPr>
        <w:t>b) Số lượng hồ sơ:</w:t>
      </w:r>
      <w:r>
        <w:rPr>
          <w:rFonts w:ascii="Times New Roman" w:hAnsi="Times New Roman" w:cs="Times New Roman"/>
          <w:sz w:val="28"/>
        </w:rPr>
        <w:t xml:space="preserve"> 01 bộ</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lastRenderedPageBreak/>
        <w:t>1.4. Thời hạn giải quyết:</w:t>
      </w:r>
      <w:r>
        <w:rPr>
          <w:rFonts w:ascii="Times New Roman" w:hAnsi="Times New Roman" w:cs="Times New Roman"/>
          <w:sz w:val="28"/>
        </w:rPr>
        <w:t xml:space="preserve"> 20 ngày, kể từ ngày nhận được đầy đủ hồ sơ theo quy định.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1.5. Đối tượng thực hiện thủ tục hành chính:</w:t>
      </w:r>
      <w:r>
        <w:rPr>
          <w:rFonts w:ascii="Times New Roman" w:hAnsi="Times New Roman" w:cs="Times New Roman"/>
          <w:sz w:val="28"/>
        </w:rPr>
        <w:t xml:space="preserve"> Nhà đầu tư xây dựng dự án nhà ở thương mại</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1.6. Cơ quan thực hiện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Cơ quan thực hiện thủ tục hành chính: Sở Xây dựng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Cơ quan có thẩm quyền quyết định: Ủy ban nhân dân tỉnh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1.7. Kết quả thực hiện thủ tục hành chính:</w:t>
      </w:r>
      <w:r>
        <w:rPr>
          <w:rFonts w:ascii="Times New Roman" w:hAnsi="Times New Roman" w:cs="Times New Roman"/>
          <w:sz w:val="28"/>
        </w:rPr>
        <w:t xml:space="preserve"> Quyết định công nhận chủ đầu tư dự án xây dựng nhà ở</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1.8. Lệ phí:</w:t>
      </w:r>
      <w:r>
        <w:rPr>
          <w:rFonts w:ascii="Times New Roman" w:hAnsi="Times New Roman" w:cs="Times New Roman"/>
          <w:sz w:val="28"/>
        </w:rPr>
        <w:t xml:space="preserve"> Không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1.9. Tên mẫu đơn, mẫu tờ khai:</w:t>
      </w:r>
      <w:r>
        <w:rPr>
          <w:rFonts w:ascii="Times New Roman" w:hAnsi="Times New Roman" w:cs="Times New Roman"/>
          <w:sz w:val="28"/>
        </w:rPr>
        <w:t xml:space="preserve"> không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1.10. Yêu cầu, điều kiện thực hiện thủ tục hành chính:</w:t>
      </w:r>
      <w:r>
        <w:rPr>
          <w:rFonts w:ascii="Times New Roman" w:hAnsi="Times New Roman" w:cs="Times New Roman"/>
          <w:sz w:val="28"/>
        </w:rPr>
        <w:t xml:space="preserve"> không</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b/>
          <w:i/>
          <w:sz w:val="28"/>
        </w:rPr>
        <w:t>1.11. Căn cứ pháp lý của thủ tục hành chính:</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Nghị định số 30/2021/NĐ-CP ngày 26/3/2021 của Chính phủ sửa đổi bổ sung một số điều của Nghị định số 99/2015/NĐ-CP của Chính phủ quy định chi tiết và hướng dẫn thi hành một số điều của Luật Nhà ở;</w:t>
      </w:r>
    </w:p>
    <w:p w:rsidR="001B601E" w:rsidRDefault="00345EF4">
      <w:pPr>
        <w:spacing w:before="120" w:after="120"/>
        <w:ind w:firstLine="720"/>
        <w:jc w:val="both"/>
        <w:rPr>
          <w:rFonts w:ascii="Times New Roman" w:hAnsi="Times New Roman" w:cs="Times New Roman"/>
          <w:sz w:val="28"/>
        </w:rPr>
      </w:pPr>
      <w:r>
        <w:rPr>
          <w:rFonts w:ascii="Times New Roman" w:hAnsi="Times New Roman" w:cs="Times New Roman"/>
          <w:sz w:val="28"/>
        </w:rPr>
        <w:t>- Quyết đị</w:t>
      </w:r>
      <w:r w:rsidRPr="00AF4A13">
        <w:rPr>
          <w:rFonts w:ascii="Times New Roman" w:hAnsi="Times New Roman" w:cs="Times New Roman"/>
          <w:sz w:val="28"/>
          <w:szCs w:val="28"/>
        </w:rPr>
        <w:t>nh số 705/QĐ-BXD ngày</w:t>
      </w:r>
      <w:r w:rsidR="00AF4A13" w:rsidRPr="00AF4A13">
        <w:rPr>
          <w:rFonts w:ascii="Times New Roman" w:hAnsi="Times New Roman" w:cs="Times New Roman"/>
          <w:sz w:val="28"/>
          <w:szCs w:val="28"/>
        </w:rPr>
        <w:t xml:space="preserve"> </w:t>
      </w:r>
      <w:r w:rsidRPr="00AF4A13">
        <w:rPr>
          <w:rFonts w:ascii="Times New Roman" w:hAnsi="Times New Roman" w:cs="Times New Roman"/>
          <w:sz w:val="28"/>
          <w:szCs w:val="28"/>
        </w:rPr>
        <w:t>11/6/2021 của Bộ trưởng Bộ Xây dựng về việc công bố thủ tục hành chính ban hành mới, thủ tục hành chính được thay thế, sửa đổi, bổ sung và thủ tục hành chính bị bãi bỏ trong lĩnh vực nhà ở, kinh doanh bất động sản thuộc phạm vi chứ</w:t>
      </w:r>
      <w:r>
        <w:rPr>
          <w:rFonts w:ascii="Times New Roman" w:hAnsi="Times New Roman" w:cs="Times New Roman"/>
          <w:sz w:val="28"/>
        </w:rPr>
        <w:t>c năng quản lý nhà nước của Bộ Xây dựng.</w:t>
      </w:r>
      <w:bookmarkStart w:id="1" w:name="_GoBack"/>
      <w:bookmarkEnd w:id="1"/>
    </w:p>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AB" w:rsidRDefault="001863AB">
      <w:r>
        <w:separator/>
      </w:r>
    </w:p>
  </w:endnote>
  <w:endnote w:type="continuationSeparator" w:id="0">
    <w:p w:rsidR="001863AB" w:rsidRDefault="0018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AB" w:rsidRDefault="001863AB">
      <w:r>
        <w:separator/>
      </w:r>
    </w:p>
  </w:footnote>
  <w:footnote w:type="continuationSeparator" w:id="0">
    <w:p w:rsidR="001863AB" w:rsidRDefault="00186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53A3E">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0E33A3"/>
    <w:rsid w:val="00106D16"/>
    <w:rsid w:val="00127A11"/>
    <w:rsid w:val="001570B5"/>
    <w:rsid w:val="001830EE"/>
    <w:rsid w:val="001863AB"/>
    <w:rsid w:val="001A12A9"/>
    <w:rsid w:val="001B601E"/>
    <w:rsid w:val="00214577"/>
    <w:rsid w:val="002C345F"/>
    <w:rsid w:val="002C3CA2"/>
    <w:rsid w:val="002C5266"/>
    <w:rsid w:val="00345EF4"/>
    <w:rsid w:val="003D4A93"/>
    <w:rsid w:val="00410D68"/>
    <w:rsid w:val="00437DAB"/>
    <w:rsid w:val="00441FA2"/>
    <w:rsid w:val="004754B3"/>
    <w:rsid w:val="004A13FA"/>
    <w:rsid w:val="004F6D2C"/>
    <w:rsid w:val="00506266"/>
    <w:rsid w:val="00517E4E"/>
    <w:rsid w:val="00523B19"/>
    <w:rsid w:val="005360C1"/>
    <w:rsid w:val="00582A7E"/>
    <w:rsid w:val="005A13D5"/>
    <w:rsid w:val="005E049E"/>
    <w:rsid w:val="005F2CB2"/>
    <w:rsid w:val="005F7255"/>
    <w:rsid w:val="00611A84"/>
    <w:rsid w:val="0063400A"/>
    <w:rsid w:val="00637CAB"/>
    <w:rsid w:val="00663F61"/>
    <w:rsid w:val="006A5097"/>
    <w:rsid w:val="006B39D3"/>
    <w:rsid w:val="006D0EC8"/>
    <w:rsid w:val="007172AA"/>
    <w:rsid w:val="007B16D4"/>
    <w:rsid w:val="007D1CDA"/>
    <w:rsid w:val="007D2285"/>
    <w:rsid w:val="00841890"/>
    <w:rsid w:val="00976C2D"/>
    <w:rsid w:val="00982C36"/>
    <w:rsid w:val="009B1D5E"/>
    <w:rsid w:val="009B3D4B"/>
    <w:rsid w:val="00A22D8A"/>
    <w:rsid w:val="00AF4A13"/>
    <w:rsid w:val="00AF7512"/>
    <w:rsid w:val="00B10443"/>
    <w:rsid w:val="00B2309B"/>
    <w:rsid w:val="00B9082B"/>
    <w:rsid w:val="00B9642B"/>
    <w:rsid w:val="00CB1524"/>
    <w:rsid w:val="00D12F3A"/>
    <w:rsid w:val="00D53A3E"/>
    <w:rsid w:val="00D65F75"/>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C441-94F3-413C-93E4-26A5391F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2021-09-27T15:31:00Z</dcterms:created>
  <dcterms:modified xsi:type="dcterms:W3CDTF">2021-09-27T15:31:00Z</dcterms:modified>
</cp:coreProperties>
</file>