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2. Thẩm định Báo cáo nghiên cứu khả thi đầu tư xây dựng/ điều chỉnh Báo cáo nghiên cứu khả thi đầu tư xây dựng</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2</w:t>
      </w:r>
      <w:r>
        <w:rPr>
          <w:rFonts w:ascii="Times New Roman" w:hAnsi="Times New Roman" w:cs="Times New Roman"/>
          <w:b/>
          <w:i/>
          <w:sz w:val="28"/>
        </w:rPr>
        <w:t>.1. Trình tự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đề nghị thẩm định nộp 01 bộ hồ sơ đề nghị thẩm định Báo cáo nghiên cứu khả thi đầu tư xây dựng/điều chỉnh Báo cáo nghiên cứu khả thi đầu tư xây dựng trực tiếp, qua đường bưu điện hoặc trực tuyến cho Trung tâm Phục vụ hành chính công tỉnh</w:t>
      </w:r>
      <w:r w:rsidR="007D2285">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05 ngày làm việc sau khi tiếp nhận hồ sơ, cơ quan chuyên môn về xây dựng có trách nhiệm: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Gửi văn bản yêu cầu bổ sung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Trả lại hồ sơ thẩm định trong trường hợp: Trình thẩm định không đúng với thẩm quyền của cơ quan chuyên môn về xây dựng hoặc người đề nghị thẩm định không đúng thẩm quyền theo quy định tại Nghị định số 15/2021/NĐ-CP ngày 03/3/2021 của Chính phủ; Không thuộc đối tượng phải thẩm định tại cơ quan chuyên môn về xây dựng theo quy định; Hồ sơ trình thẩm định không bảo đảm về tính pháp lý hoặc không hợp lệ theo quy định tại Nghị định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Gửi văn bản đến các cơ quan có thẩm quyền về phòng cháy chữa cháy để thực hiện lấy ý kiến về giải pháp phòng cháy, chữa cháy của thiết kế cơ sở trong trường hợp chủ đầu tư có yêu cầu.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20 ngày kể từ ngày nhận được yêu cầu của cơ quan chuyên môn về xây dựng, nếu người đề nghị thẩm định không thực hiện việc bổ sung hồ sơ thì cơ quan chuyên môn về xây dựng dừng việc thẩm định, người đề nghị thẩm định trình thẩm định lại khi có yêu cầu.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quá trình thẩm định, cơ quan chuyên môn về xây dựng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cầu.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gian không quá 35 ngày đối với dự án nhóm A, không quá 25 ngày đối với dự án nhóm B, không quá 15 ngày đối với dự án nhóm C kể từ ngày nhận đủ hồ sơ hợp lệ cơ quan chuyên môn về xây dựng ra thông báo kết quả thẩm định kèm theo hồ sơ bản vẽ được đóng dấu.</w:t>
      </w:r>
    </w:p>
    <w:p w:rsidR="001B601E" w:rsidRDefault="00345EF4">
      <w:pPr>
        <w:spacing w:before="120"/>
        <w:ind w:firstLine="720"/>
        <w:jc w:val="both"/>
        <w:rPr>
          <w:rFonts w:ascii="Times New Roman" w:hAnsi="Times New Roman" w:cs="Times New Roman"/>
          <w:sz w:val="28"/>
        </w:rPr>
      </w:pPr>
      <w:r w:rsidRPr="00EA63B1">
        <w:rPr>
          <w:rFonts w:ascii="Times New Roman" w:hAnsi="Times New Roman" w:cs="Times New Roman"/>
          <w:b/>
          <w:i/>
          <w:sz w:val="28"/>
        </w:rPr>
        <w:t>2</w:t>
      </w:r>
      <w:r>
        <w:rPr>
          <w:rFonts w:ascii="Times New Roman" w:hAnsi="Times New Roman" w:cs="Times New Roman"/>
          <w:b/>
          <w:i/>
          <w:sz w:val="28"/>
        </w:rPr>
        <w:t>.2.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pacing w:val="-2"/>
          <w:sz w:val="28"/>
        </w:rPr>
      </w:pPr>
      <w:r>
        <w:rPr>
          <w:rFonts w:ascii="Times New Roman" w:hAnsi="Times New Roman" w:cs="Times New Roman"/>
          <w:spacing w:val="-2"/>
          <w:sz w:val="28"/>
        </w:rPr>
        <w:t>- Nộp trên Cổng dịch vụ công của tỉnh (</w:t>
      </w:r>
      <w:hyperlink r:id="rId8" w:history="1">
        <w:r>
          <w:rPr>
            <w:rStyle w:val="Hyperlink"/>
            <w:rFonts w:ascii="Times New Roman" w:hAnsi="Times New Roman" w:cs="Times New Roman"/>
            <w:spacing w:val="-2"/>
            <w:sz w:val="28"/>
          </w:rPr>
          <w:t>https://dichvucong.ninhbinh.gov.vn</w:t>
        </w:r>
      </w:hyperlink>
      <w:r>
        <w:rPr>
          <w:rFonts w:ascii="Times New Roman" w:hAnsi="Times New Roman" w:cs="Times New Roman"/>
          <w:spacing w:val="-2"/>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2.3. Thành phần,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Thành phần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Tờ trình thẩm định Báo cáo nghiên cứu khả thi đầu tư xây dựng/điều chỉnh Báo cáo nghiên cứu khả thi đầu tư xây dựng theo Mẫu số 1 Phụ lục I Nghị định số 15/2021/NĐ-CP ngày 03/3/2021 của Chính phủ;</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Văn bản về chủ trương đầu tư xây dựng công trình theo quy định pháp luật về đầu tư, đầu tư công, đầu tư theo phương thức đối tác công tư;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Quyết định lựa chọn phương án thiết kế kiến trúc thông qua thi tuyển theo quy định và phương án thiết kế được lựa chọn kèm theo (nếu có yêu cầu);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công trình, vị trí công trình được cơ quan nhà nước có thẩm quyền chấp thuận; quy hoạch phân khu xây dựng đối với trường hợp không có yêu cầu lập quy hoạch chi tiết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Các văn bản ý kiến về giải pháp phòng cháy, chữa cháy của thiết kế cơ sở; kết quả thực hiện thủ tục về đánh giá tác động môi trường theo quy định của pháp luật về bảo vệ môi trường gửi cơ quan chuyên môn về xây dựng trước thời hạn thông báo kết quả thẩm định. Trường hợp chủ đầu tư có yêu cầu thực hiện thủ tục lấy ý kiến về giải pháp phòng cháy, chữa cháy của thiết kế cơ sở theo cơ chế một cửa liên thông thì chủ đầu tư nộp bổ sung 01 bộ hồ sơ theo quy định của pháp luật về phòng cháy và chữa cháy;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thống nhất về bề mặt quản lý độ cao công trình tại giai đoạn phê duyệt quy hoạch xây dựng)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Các văn bản pháp lý khác có liên quan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Hồ sơ khảo sát xây dựng được phê duyệt; thuyết minh Báo cáo nghiên cứu khả thi đầu tư xây dựng; thiết kế cơ sở hoặc thiết kế khác theo thông lệ quốc tế phục vụ lập báo cáo nghiên cứu khả thi đầu tư xây dựng (gồm bản vẽ và thuyết minh); danh mục tiêu chuẩn chủ yếu áp dụng cho dự 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xâydựng; chủ nhiệm, chủ trì các bộ môn thiết kế, lập tổng mức đầu tư; chủ nhiệm, chủ trì thẩm tra;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Đối với dự án sử dụng vốn đầu tư công, vốn nhà nước ngoài đầu tư công có yêu cầu xem xét tổng mức đầu tư, hồ sơ trình thẩm định còn phải có các nội dung sau: tổng mức đầu tư; các thông tin, số liệu về giá, định mức có liên quan; báo giá, kết quả thẩm định giá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Số lượng hồ sơ: 01 (bộ)</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2</w:t>
      </w:r>
      <w:r>
        <w:rPr>
          <w:rFonts w:ascii="Times New Roman" w:hAnsi="Times New Roman" w:cs="Times New Roman"/>
          <w:b/>
          <w:i/>
          <w:sz w:val="28"/>
        </w:rPr>
        <w:t>1.4. Thời hạn giải quyết: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Dự án nhóm A không quá 35 ngày, dự án nhóm B không quá 25 ngày, dự án nhóm C không quá 15 ngày kể từ ngày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2.5. Đối tượng thực hiện thủ tục hành chính:</w:t>
      </w:r>
      <w:r>
        <w:rPr>
          <w:rFonts w:ascii="Times New Roman" w:hAnsi="Times New Roman" w:cs="Times New Roman"/>
          <w:sz w:val="28"/>
        </w:rPr>
        <w:t xml:space="preserve"> Chủ đầu tư hoặc tổ chức/cá nhân được người quyết định đầu tư/cơ quan nhà nước có thẩm quyền giao chuẩn bị dự án gọi chung là Người đề nghị thẩm định</w:t>
      </w:r>
    </w:p>
    <w:p w:rsidR="001B601E" w:rsidRPr="00EA63B1"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2.6. Cơ quan giải quyết thủ tục hành chính:</w:t>
      </w:r>
      <w:r>
        <w:rPr>
          <w:rFonts w:ascii="Times New Roman" w:hAnsi="Times New Roman" w:cs="Times New Roman"/>
          <w:sz w:val="28"/>
        </w:rPr>
        <w:t xml:space="preserve"> Cơ quan chuyên môn về xây dựng (</w:t>
      </w:r>
      <w:r w:rsidRPr="00EA63B1">
        <w:rPr>
          <w:rFonts w:ascii="Times New Roman" w:hAnsi="Times New Roman" w:cs="Times New Roman"/>
          <w:sz w:val="28"/>
        </w:rPr>
        <w:t xml:space="preserve">Sở </w:t>
      </w:r>
      <w:r>
        <w:rPr>
          <w:rFonts w:ascii="Times New Roman" w:hAnsi="Times New Roman" w:cs="Times New Roman"/>
          <w:sz w:val="28"/>
        </w:rPr>
        <w:t xml:space="preserve">Xây dựng, </w:t>
      </w:r>
      <w:r w:rsidRPr="00EA63B1">
        <w:rPr>
          <w:rFonts w:ascii="Times New Roman" w:hAnsi="Times New Roman" w:cs="Times New Roman"/>
          <w:sz w:val="28"/>
        </w:rPr>
        <w:t xml:space="preserve">Sở </w:t>
      </w:r>
      <w:r>
        <w:rPr>
          <w:rFonts w:ascii="Times New Roman" w:hAnsi="Times New Roman" w:cs="Times New Roman"/>
          <w:sz w:val="28"/>
        </w:rPr>
        <w:t xml:space="preserve">Giao thông vận tải, </w:t>
      </w:r>
      <w:r w:rsidRPr="00EA63B1">
        <w:rPr>
          <w:rFonts w:ascii="Times New Roman" w:hAnsi="Times New Roman" w:cs="Times New Roman"/>
          <w:sz w:val="28"/>
        </w:rPr>
        <w:t>Sở Nông nghiệp và Phát triển nông thôn</w:t>
      </w:r>
      <w:r>
        <w:rPr>
          <w:rFonts w:ascii="Times New Roman" w:hAnsi="Times New Roman" w:cs="Times New Roman"/>
          <w:sz w:val="28"/>
        </w:rPr>
        <w:t xml:space="preserve">, </w:t>
      </w:r>
      <w:r w:rsidRPr="00EA63B1">
        <w:rPr>
          <w:rFonts w:ascii="Times New Roman" w:hAnsi="Times New Roman" w:cs="Times New Roman"/>
          <w:sz w:val="28"/>
        </w:rPr>
        <w:t xml:space="preserve">Sở </w:t>
      </w:r>
      <w:r>
        <w:rPr>
          <w:rFonts w:ascii="Times New Roman" w:hAnsi="Times New Roman" w:cs="Times New Roman"/>
          <w:sz w:val="28"/>
        </w:rPr>
        <w:t>Công Thương)</w:t>
      </w:r>
      <w:r w:rsidRPr="00EA63B1">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2.7. Kết quả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Thông báo kết quả thẩm định Báo cáo nghiên cứu khả thi đầu tư xây dựng/điều chỉnh Báo cáo nghiên cứu khả thi đầu tư kèm theo hồ sơ thiết kế trình thẩm định có đóng dấu thẩm định của cơ quan chuyên môn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2.8. Phí, Lệ phí:</w:t>
      </w:r>
      <w:r>
        <w:rPr>
          <w:rFonts w:ascii="Times New Roman" w:hAnsi="Times New Roman" w:cs="Times New Roman"/>
          <w:sz w:val="28"/>
        </w:rPr>
        <w:t xml:space="preserve"> Theo quy định tại Thông tư của Bộ trưởng Bộ Tài chính.</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2.9. Tên mẫu đơn, mẫu tờ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Tờ trình thẩm định Báo cáo nghiên cứu khả thi đầu tư xây dựng/điều chỉnh Báo cáo nghiên cứu khả thi đầu tư theo Mẫu số 1 Phụ lục I Nghị định số 15/2021/NĐ-CP.</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2.10. Yêu cầu, điều kiện thực hiện thủ tục hành chính:</w:t>
      </w:r>
    </w:p>
    <w:p w:rsidR="001B601E" w:rsidRPr="00AF4A13" w:rsidRDefault="00345EF4">
      <w:pPr>
        <w:spacing w:before="120"/>
        <w:ind w:firstLine="720"/>
        <w:jc w:val="both"/>
        <w:rPr>
          <w:rFonts w:ascii="Times New Roman" w:hAnsi="Times New Roman" w:cs="Times New Roman"/>
          <w:spacing w:val="-4"/>
          <w:sz w:val="28"/>
        </w:rPr>
      </w:pPr>
      <w:r w:rsidRPr="00AF4A13">
        <w:rPr>
          <w:rFonts w:ascii="Times New Roman" w:hAnsi="Times New Roman" w:cs="Times New Roman"/>
          <w:spacing w:val="-4"/>
          <w:sz w:val="28"/>
        </w:rPr>
        <w:t xml:space="preserve">Hồ sơ trình thẩm định phải bảo đảm tính pháp lý, phù hợp với nội dung đề nghị thẩm định. Hồ sơ trình thẩm định được xem là hợp lệ khi bảo đảm các nội dung quy định tại khoản 3 Điều 14 Nghị định số 15/2021/NĐ-CP ngày 03/3/2021 của Chính phủ, đúng quy cách, được trình bày với ngôn ngữ chính là </w:t>
      </w:r>
      <w:r w:rsidR="00AF4A13" w:rsidRPr="00AF4A13">
        <w:rPr>
          <w:rFonts w:ascii="Times New Roman" w:hAnsi="Times New Roman" w:cs="Times New Roman"/>
          <w:spacing w:val="-4"/>
          <w:sz w:val="28"/>
        </w:rPr>
        <w:t>T</w:t>
      </w:r>
      <w:r w:rsidRPr="00AF4A13">
        <w:rPr>
          <w:rFonts w:ascii="Times New Roman" w:hAnsi="Times New Roman" w:cs="Times New Roman"/>
          <w:spacing w:val="-4"/>
          <w:sz w:val="28"/>
        </w:rPr>
        <w:t>iếng Việt và được người đề nghị thẩm định kiểm tra, xác nhận. Phần hồ sơ thiết kế kiến trúc trong hồ sơ thiết kế xây dựng (nếu có) phải tuân thủ quy định của pháp luật về kiến trúc.</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2.11.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Xây dựng số 50/2014/QH13 ngày 18/6/2014;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sửa đổi, bổ sung một số điều của Luật Xây dựng số 62/2020/QH14;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15/2021/NĐ-CP ngày 03/3/2021 của Chính phủ quy định chi tiết một số nội dung về quản lý dự án đầu tư xây dựng;</w:t>
      </w:r>
    </w:p>
    <w:p w:rsidR="001B601E" w:rsidRDefault="001B601E">
      <w:pPr>
        <w:spacing w:before="120"/>
        <w:rPr>
          <w:rFonts w:ascii="Times New Roman" w:hAnsi="Times New Roman" w:cs="Times New Roman"/>
          <w:sz w:val="28"/>
        </w:rPr>
      </w:pPr>
    </w:p>
    <w:p w:rsidR="001B601E" w:rsidRDefault="00345EF4">
      <w:pPr>
        <w:spacing w:before="120"/>
        <w:jc w:val="right"/>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Mẫu số 01</w:t>
      </w:r>
    </w:p>
    <w:tbl>
      <w:tblPr>
        <w:tblW w:w="0" w:type="auto"/>
        <w:tblLook w:val="01E0" w:firstRow="1" w:lastRow="1" w:firstColumn="1" w:lastColumn="1" w:noHBand="0" w:noVBand="0"/>
      </w:tblPr>
      <w:tblGrid>
        <w:gridCol w:w="2660"/>
        <w:gridCol w:w="6196"/>
      </w:tblGrid>
      <w:tr w:rsidR="001B601E">
        <w:tc>
          <w:tcPr>
            <w:tcW w:w="2660"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b/>
                <w:sz w:val="28"/>
              </w:rPr>
              <w:t>TÊN TỔ CHỨC</w:t>
            </w:r>
            <w:r>
              <w:rPr>
                <w:rFonts w:ascii="Times New Roman" w:hAnsi="Times New Roman" w:cs="Times New Roman"/>
                <w:b/>
                <w:sz w:val="28"/>
                <w:szCs w:val="20"/>
              </w:rPr>
              <w:br/>
              <w:t>-------</w:t>
            </w:r>
          </w:p>
        </w:tc>
        <w:tc>
          <w:tcPr>
            <w:tcW w:w="6196" w:type="dxa"/>
            <w:shd w:val="clear" w:color="auto" w:fill="auto"/>
          </w:tcPr>
          <w:p w:rsidR="001B601E" w:rsidRDefault="00345EF4">
            <w:pPr>
              <w:spacing w:before="120"/>
              <w:jc w:val="center"/>
              <w:rPr>
                <w:rFonts w:ascii="Times New Roman" w:hAnsi="Times New Roman" w:cs="Times New Roman"/>
                <w:sz w:val="28"/>
                <w:szCs w:val="20"/>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tc>
      </w:tr>
      <w:tr w:rsidR="001B601E">
        <w:tc>
          <w:tcPr>
            <w:tcW w:w="2660" w:type="dxa"/>
            <w:shd w:val="clear" w:color="auto" w:fill="auto"/>
          </w:tcPr>
          <w:p w:rsidR="001B601E" w:rsidRDefault="00345EF4">
            <w:pPr>
              <w:spacing w:before="120"/>
              <w:jc w:val="center"/>
              <w:rPr>
                <w:rFonts w:ascii="Times New Roman" w:hAnsi="Times New Roman" w:cs="Times New Roman"/>
                <w:sz w:val="28"/>
                <w:szCs w:val="20"/>
                <w:lang w:val="en-GB"/>
              </w:rPr>
            </w:pPr>
            <w:r>
              <w:rPr>
                <w:rFonts w:ascii="Times New Roman" w:hAnsi="Times New Roman" w:cs="Times New Roman"/>
                <w:sz w:val="28"/>
                <w:szCs w:val="20"/>
                <w:lang w:val="en-GB"/>
              </w:rPr>
              <w:t>Số: ……..</w:t>
            </w:r>
          </w:p>
        </w:tc>
        <w:tc>
          <w:tcPr>
            <w:tcW w:w="6196" w:type="dxa"/>
            <w:shd w:val="clear" w:color="auto" w:fill="auto"/>
          </w:tcPr>
          <w:p w:rsidR="001B601E" w:rsidRDefault="00345EF4">
            <w:pPr>
              <w:spacing w:before="120"/>
              <w:jc w:val="right"/>
              <w:rPr>
                <w:rFonts w:ascii="Times New Roman" w:hAnsi="Times New Roman" w:cs="Times New Roman"/>
                <w:i/>
                <w:sz w:val="28"/>
                <w:szCs w:val="20"/>
              </w:rPr>
            </w:pPr>
            <w:r>
              <w:rPr>
                <w:rFonts w:ascii="Times New Roman" w:hAnsi="Times New Roman" w:cs="Times New Roman"/>
                <w:i/>
                <w:sz w:val="28"/>
                <w:szCs w:val="20"/>
                <w:lang w:val="en-US"/>
              </w:rPr>
              <w:t>…….…</w:t>
            </w:r>
            <w:r>
              <w:rPr>
                <w:rFonts w:ascii="Times New Roman" w:hAnsi="Times New Roman" w:cs="Times New Roman"/>
                <w:i/>
                <w:sz w:val="28"/>
                <w:szCs w:val="20"/>
              </w:rPr>
              <w:t>, ngày</w:t>
            </w:r>
            <w:r>
              <w:rPr>
                <w:rFonts w:ascii="Times New Roman" w:hAnsi="Times New Roman" w:cs="Times New Roman"/>
                <w:i/>
                <w:sz w:val="28"/>
                <w:szCs w:val="20"/>
                <w:lang w:val="en-US"/>
              </w:rPr>
              <w:t>…</w:t>
            </w:r>
            <w:r>
              <w:rPr>
                <w:rFonts w:ascii="Times New Roman" w:hAnsi="Times New Roman" w:cs="Times New Roman"/>
                <w:i/>
                <w:sz w:val="28"/>
                <w:szCs w:val="20"/>
              </w:rPr>
              <w:t xml:space="preserve"> tháng </w:t>
            </w:r>
            <w:r>
              <w:rPr>
                <w:rFonts w:ascii="Times New Roman" w:hAnsi="Times New Roman" w:cs="Times New Roman"/>
                <w:i/>
                <w:sz w:val="28"/>
                <w:szCs w:val="20"/>
                <w:lang w:val="en-US"/>
              </w:rPr>
              <w:t>…</w:t>
            </w:r>
            <w:r>
              <w:rPr>
                <w:rFonts w:ascii="Times New Roman" w:hAnsi="Times New Roman" w:cs="Times New Roman"/>
                <w:i/>
                <w:sz w:val="28"/>
                <w:szCs w:val="20"/>
              </w:rPr>
              <w:t xml:space="preserve"> năm</w:t>
            </w:r>
            <w:r>
              <w:rPr>
                <w:rFonts w:ascii="Times New Roman" w:hAnsi="Times New Roman" w:cs="Times New Roman"/>
                <w:i/>
                <w:sz w:val="28"/>
                <w:szCs w:val="20"/>
                <w:lang w:val="en-US"/>
              </w:rPr>
              <w:t>…</w:t>
            </w:r>
          </w:p>
        </w:tc>
      </w:tr>
    </w:tbl>
    <w:p w:rsidR="001B601E" w:rsidRDefault="001B601E">
      <w:pPr>
        <w:spacing w:before="120"/>
        <w:rPr>
          <w:rFonts w:ascii="Times New Roman" w:hAnsi="Times New Roman" w:cs="Times New Roman"/>
          <w:sz w:val="28"/>
          <w:lang w:val="en-US"/>
        </w:rPr>
      </w:pP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T</w:t>
      </w:r>
      <w:r>
        <w:rPr>
          <w:rFonts w:ascii="Times New Roman" w:hAnsi="Times New Roman" w:cs="Times New Roman"/>
          <w:b/>
          <w:sz w:val="28"/>
          <w:lang w:val="en-US"/>
        </w:rPr>
        <w:t>Ờ</w:t>
      </w:r>
      <w:r>
        <w:rPr>
          <w:rFonts w:ascii="Times New Roman" w:hAnsi="Times New Roman" w:cs="Times New Roman"/>
          <w:b/>
          <w:sz w:val="28"/>
        </w:rPr>
        <w:t xml:space="preserve"> TRÌNH</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Thẩm định Báo cáo nghiên cứu khả thi đầu tư xây dựng</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(Cơ quan chuyên môn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Căn cứ Luật Xây dựng số 50/2014/QH13 đã được sửa đổi, bổ sung một số điều theo Luật số 03/2016/QH14, Luật số 35/2018/QH14, Luật số 40/2019/QH14 và Luật số 62/2020/QH14;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Căn cứ Nghị định số 15/2021/NĐ-CP ngày 03 tháng 03 năm 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Các căn cứ pháp lý khác có liên quan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(Tên tổ chức) trình (Cơ quan chuyên môn về xây dựng) thẩm định báo cáo nghiên cứu khả thi đầu tư xây dựng (Tên dự án) với các nội dung chính sau:</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lang w:val="en-US"/>
        </w:rPr>
        <w:t>I. THÔNG TIN CHUNG DỰ 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Tên dự 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Loại, nhóm dự 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Loại và cấp công trình chính; thời hạn sử dụng của công trình chính theo thiếtkế.</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Người quyết định đầu tư: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Chủ đầu tư (nếu có) hoặc tên đại diện tổ chức và các thông tin để liên hệ (địa chỉ, điện thoại,...):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6. Địa điểm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7. Giá trị tổng mức đầu tư: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8. Nguồn vốn đầu tư: ……</w:t>
      </w:r>
      <w:r>
        <w:rPr>
          <w:rFonts w:ascii="Times New Roman" w:hAnsi="Times New Roman" w:cs="Times New Roman"/>
          <w:i/>
          <w:sz w:val="28"/>
        </w:rPr>
        <w:t>(xác định và ghi rõ: vốn đầu tư công/vốn nhànước ngoài đầu tư công/vốn khác/thực hiện theo phương thức PPP)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9. Thời gian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10. Tiêu chuẩn, quy chuẩn áp dụng: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11. Nhà thầu lập báo cáo nghiên cứu khả thi: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12. Nhà thầu khảo sát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13. Các thông tin khác (nếu có):</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II. DANH MỤC HỒ SƠ GỬI KÈM BÁO CÁO</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Văn bản pháp lý:</w:t>
      </w:r>
      <w:r>
        <w:rPr>
          <w:rFonts w:ascii="Times New Roman" w:hAnsi="Times New Roman" w:cs="Times New Roman"/>
          <w:i/>
          <w:sz w:val="28"/>
        </w:rPr>
        <w:t xml:space="preserve"> liệt kê các văn bản pháp lý có liên quan theo quy định </w:t>
      </w:r>
      <w:r>
        <w:rPr>
          <w:rFonts w:ascii="Times New Roman" w:hAnsi="Times New Roman" w:cs="Times New Roman"/>
          <w:i/>
          <w:sz w:val="28"/>
        </w:rPr>
        <w:lastRenderedPageBreak/>
        <w:t>tại khoản 3 Điều 14 của Nghị định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Tài liệu khảo sát, thiết kế, tổng mức đầu tư: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Hồ sơ khảo sát xây dựng phục vụ lập dự 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Thuyết minh báo cáo nghiên cứu khả thi (bao gồm tổng mức đầu tư; Danh mục quy chuẩn, tiêu chuẩn kỹ thuật chủ yếu được lựa chọn áp dụng).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Thiết kế cơ sở bao gồm bản vẽ và thuyết minh.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Hồ sơ năng lực của các nhà thầu: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Mã số chứng chỉ năng lực của nhà thầu khảo sát, nhà thầu lập thiết kế cơ sở, nhà thầu thẩm tra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Mã số chứng chỉ hành nghề hoạt động xây dựng của các chức danh chủ nhiệm khảo sát xây dựng; chủ nhiệm, chủ trì các bộ môn thiết kế; chủ nhiệm, chủ trì thẩm tra;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Giấy phép hoạt động xây dựng của nhà thầu nước ngoài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i/>
          <w:sz w:val="28"/>
        </w:rPr>
        <w:t>(Tên tổ chức)</w:t>
      </w:r>
      <w:r>
        <w:rPr>
          <w:rFonts w:ascii="Times New Roman" w:hAnsi="Times New Roman" w:cs="Times New Roman"/>
          <w:sz w:val="28"/>
        </w:rPr>
        <w:t xml:space="preserve"> trình </w:t>
      </w:r>
      <w:r>
        <w:rPr>
          <w:rFonts w:ascii="Times New Roman" w:hAnsi="Times New Roman" w:cs="Times New Roman"/>
          <w:i/>
          <w:sz w:val="28"/>
        </w:rPr>
        <w:t>(Cơ quan chuyên môn về xây dựng)</w:t>
      </w:r>
      <w:r>
        <w:rPr>
          <w:rFonts w:ascii="Times New Roman" w:hAnsi="Times New Roman" w:cs="Times New Roman"/>
          <w:sz w:val="28"/>
        </w:rPr>
        <w:t xml:space="preserve"> thẩm định báo cáo nghiên cứu khả thi đầu tư xây dựng </w:t>
      </w:r>
      <w:r>
        <w:rPr>
          <w:rFonts w:ascii="Times New Roman" w:hAnsi="Times New Roman" w:cs="Times New Roman"/>
          <w:i/>
          <w:sz w:val="28"/>
        </w:rPr>
        <w:t>(Tên dự án)</w:t>
      </w:r>
      <w:r>
        <w:rPr>
          <w:rFonts w:ascii="Times New Roman" w:hAnsi="Times New Roman" w:cs="Times New Roman"/>
          <w:sz w:val="28"/>
        </w:rPr>
        <w:t xml:space="preserve"> với các nội dung nêu trên.</w:t>
      </w:r>
    </w:p>
    <w:p w:rsidR="001B601E" w:rsidRDefault="001B601E">
      <w:pPr>
        <w:spacing w:before="120"/>
        <w:rPr>
          <w:rFonts w:ascii="Times New Roman" w:hAnsi="Times New Roman" w:cs="Times New Roman"/>
          <w:sz w:val="28"/>
        </w:rPr>
      </w:pPr>
    </w:p>
    <w:tbl>
      <w:tblPr>
        <w:tblW w:w="0" w:type="auto"/>
        <w:tblLook w:val="01E0" w:firstRow="1" w:lastRow="1" w:firstColumn="1" w:lastColumn="1" w:noHBand="0" w:noVBand="0"/>
      </w:tblPr>
      <w:tblGrid>
        <w:gridCol w:w="4428"/>
        <w:gridCol w:w="4428"/>
      </w:tblGrid>
      <w:tr w:rsidR="001B601E">
        <w:tc>
          <w:tcPr>
            <w:tcW w:w="4428" w:type="dxa"/>
            <w:shd w:val="clear" w:color="auto" w:fill="auto"/>
          </w:tcPr>
          <w:p w:rsidR="001B601E" w:rsidRDefault="00345EF4">
            <w:pPr>
              <w:spacing w:before="120"/>
              <w:rPr>
                <w:rFonts w:ascii="Times New Roman" w:hAnsi="Times New Roman" w:cs="Times New Roman"/>
                <w:sz w:val="28"/>
                <w:szCs w:val="20"/>
              </w:rPr>
            </w:pPr>
            <w:r>
              <w:rPr>
                <w:rFonts w:ascii="Times New Roman" w:hAnsi="Times New Roman" w:cs="Times New Roman"/>
                <w:b/>
                <w:i/>
                <w:sz w:val="28"/>
                <w:szCs w:val="20"/>
              </w:rPr>
              <w:br/>
              <w:t>Nơi nhận:</w:t>
            </w:r>
            <w:r>
              <w:rPr>
                <w:rFonts w:ascii="Times New Roman" w:hAnsi="Times New Roman" w:cs="Times New Roman"/>
                <w:b/>
                <w:i/>
                <w:sz w:val="28"/>
                <w:szCs w:val="20"/>
              </w:rPr>
              <w:br/>
            </w:r>
            <w:r>
              <w:rPr>
                <w:rFonts w:ascii="Times New Roman" w:hAnsi="Times New Roman" w:cs="Times New Roman"/>
                <w:sz w:val="28"/>
                <w:szCs w:val="20"/>
              </w:rPr>
              <w:t>- Như trên;</w:t>
            </w:r>
            <w:r>
              <w:rPr>
                <w:rFonts w:ascii="Times New Roman" w:hAnsi="Times New Roman" w:cs="Times New Roman"/>
                <w:sz w:val="28"/>
                <w:szCs w:val="20"/>
              </w:rPr>
              <w:br/>
              <w:t>- Lưu:...</w:t>
            </w:r>
          </w:p>
        </w:tc>
        <w:tc>
          <w:tcPr>
            <w:tcW w:w="4428"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b/>
                <w:sz w:val="28"/>
                <w:szCs w:val="20"/>
              </w:rPr>
              <w:t>ĐẠI DIỆN TỔ CHỨC</w:t>
            </w:r>
            <w:r>
              <w:rPr>
                <w:rFonts w:ascii="Times New Roman" w:hAnsi="Times New Roman" w:cs="Times New Roman"/>
                <w:b/>
                <w:sz w:val="28"/>
                <w:szCs w:val="20"/>
              </w:rPr>
              <w:br/>
            </w:r>
            <w:r>
              <w:rPr>
                <w:rFonts w:ascii="Times New Roman" w:hAnsi="Times New Roman" w:cs="Times New Roman"/>
                <w:i/>
                <w:sz w:val="28"/>
                <w:szCs w:val="20"/>
              </w:rPr>
              <w:t>(Ký, ghi rõ họ tên, chức vụ và đóng dấu)</w:t>
            </w:r>
          </w:p>
        </w:tc>
      </w:tr>
    </w:tbl>
    <w:p w:rsidR="001B601E" w:rsidRDefault="001B601E">
      <w:pPr>
        <w:spacing w:before="120"/>
        <w:rPr>
          <w:rFonts w:ascii="Times New Roman" w:hAnsi="Times New Roman" w:cs="Times New Roman"/>
          <w:sz w:val="28"/>
        </w:rPr>
      </w:pPr>
      <w:bookmarkStart w:id="0" w:name="_GoBack"/>
      <w:bookmarkEnd w:id="0"/>
    </w:p>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5D" w:rsidRDefault="00D0735D">
      <w:r>
        <w:separator/>
      </w:r>
    </w:p>
  </w:endnote>
  <w:endnote w:type="continuationSeparator" w:id="0">
    <w:p w:rsidR="00D0735D" w:rsidRDefault="00D0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5D" w:rsidRDefault="00D0735D">
      <w:r>
        <w:separator/>
      </w:r>
    </w:p>
  </w:footnote>
  <w:footnote w:type="continuationSeparator" w:id="0">
    <w:p w:rsidR="00D0735D" w:rsidRDefault="00D0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23968">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0E33A3"/>
    <w:rsid w:val="00106D16"/>
    <w:rsid w:val="00127A11"/>
    <w:rsid w:val="001570B5"/>
    <w:rsid w:val="001830EE"/>
    <w:rsid w:val="001A12A9"/>
    <w:rsid w:val="001B601E"/>
    <w:rsid w:val="00214577"/>
    <w:rsid w:val="002C345F"/>
    <w:rsid w:val="002C3CA2"/>
    <w:rsid w:val="002C5266"/>
    <w:rsid w:val="00345EF4"/>
    <w:rsid w:val="003D4A93"/>
    <w:rsid w:val="00410D68"/>
    <w:rsid w:val="00437DAB"/>
    <w:rsid w:val="00441FA2"/>
    <w:rsid w:val="004754B3"/>
    <w:rsid w:val="004A13FA"/>
    <w:rsid w:val="004B7021"/>
    <w:rsid w:val="004F6D2C"/>
    <w:rsid w:val="00506266"/>
    <w:rsid w:val="00517E4E"/>
    <w:rsid w:val="00523B19"/>
    <w:rsid w:val="005360C1"/>
    <w:rsid w:val="00582A7E"/>
    <w:rsid w:val="005A13D5"/>
    <w:rsid w:val="005E049E"/>
    <w:rsid w:val="005F2CB2"/>
    <w:rsid w:val="005F7255"/>
    <w:rsid w:val="00611A84"/>
    <w:rsid w:val="0063400A"/>
    <w:rsid w:val="00637CAB"/>
    <w:rsid w:val="00663F61"/>
    <w:rsid w:val="006A5097"/>
    <w:rsid w:val="006B39D3"/>
    <w:rsid w:val="006D0EC8"/>
    <w:rsid w:val="007172AA"/>
    <w:rsid w:val="007B16D4"/>
    <w:rsid w:val="007D1CDA"/>
    <w:rsid w:val="007D2285"/>
    <w:rsid w:val="00841890"/>
    <w:rsid w:val="00976C2D"/>
    <w:rsid w:val="00982C36"/>
    <w:rsid w:val="009B1D5E"/>
    <w:rsid w:val="009B3D4B"/>
    <w:rsid w:val="00A22D8A"/>
    <w:rsid w:val="00AF4A13"/>
    <w:rsid w:val="00AF7512"/>
    <w:rsid w:val="00B10443"/>
    <w:rsid w:val="00B2309B"/>
    <w:rsid w:val="00B73381"/>
    <w:rsid w:val="00B9082B"/>
    <w:rsid w:val="00B9642B"/>
    <w:rsid w:val="00CB1524"/>
    <w:rsid w:val="00D0735D"/>
    <w:rsid w:val="00D12F3A"/>
    <w:rsid w:val="00D23968"/>
    <w:rsid w:val="00D65F75"/>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8175-6358-4738-AC1C-DFD94C39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9720</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2021-09-27T15:31:00Z</dcterms:created>
  <dcterms:modified xsi:type="dcterms:W3CDTF">2021-09-27T15:31:00Z</dcterms:modified>
</cp:coreProperties>
</file>